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7D95" w14:textId="2A228C4F" w:rsidR="001F511B" w:rsidRPr="001F511B" w:rsidRDefault="001F511B" w:rsidP="001F511B">
      <w:pPr>
        <w:spacing w:line="276" w:lineRule="auto"/>
        <w:jc w:val="center"/>
        <w:rPr>
          <w:rFonts w:ascii="Arial Nova" w:hAnsi="Arial Nova" w:cs="72"/>
          <w:b/>
          <w:bCs/>
          <w:sz w:val="24"/>
          <w:lang w:val="es-ES"/>
        </w:rPr>
      </w:pPr>
      <w:r w:rsidRPr="001F511B">
        <w:rPr>
          <w:rFonts w:ascii="Arial Nova" w:hAnsi="Arial Nova" w:cs="72"/>
          <w:b/>
          <w:bCs/>
          <w:sz w:val="24"/>
          <w:lang w:val="es-ES"/>
        </w:rPr>
        <w:t>OBSERVACIONES EN TORNO AL CAPITULO DEL PODER JUDICIAL CONTENIDO EN EL ANTEPROYECTO PARA UN TEXTO CONSTITUCIONAL (2023)</w:t>
      </w:r>
    </w:p>
    <w:p w14:paraId="23ECA764" w14:textId="77777777" w:rsidR="001F511B" w:rsidRDefault="001F511B" w:rsidP="008E27B8">
      <w:pPr>
        <w:spacing w:line="276" w:lineRule="auto"/>
        <w:jc w:val="both"/>
        <w:rPr>
          <w:rFonts w:ascii="Arial Nova" w:hAnsi="Arial Nova" w:cs="72"/>
          <w:sz w:val="24"/>
          <w:lang w:val="es-ES"/>
        </w:rPr>
      </w:pPr>
    </w:p>
    <w:p w14:paraId="166535F7" w14:textId="45F49C0C" w:rsidR="001F511B" w:rsidRPr="001F511B" w:rsidRDefault="001F511B" w:rsidP="001F511B">
      <w:pPr>
        <w:spacing w:line="276" w:lineRule="auto"/>
        <w:jc w:val="right"/>
        <w:rPr>
          <w:rFonts w:ascii="Arial Nova" w:hAnsi="Arial Nova" w:cs="72"/>
          <w:b/>
          <w:bCs/>
          <w:sz w:val="24"/>
          <w:lang w:val="es-ES"/>
        </w:rPr>
      </w:pPr>
      <w:r w:rsidRPr="001F511B">
        <w:rPr>
          <w:rFonts w:ascii="Arial Nova" w:hAnsi="Arial Nova" w:cs="72"/>
          <w:b/>
          <w:bCs/>
          <w:sz w:val="24"/>
          <w:lang w:val="es-ES"/>
        </w:rPr>
        <w:t>MAITE AGUIRREZABAL GRÜNSTEIN</w:t>
      </w:r>
    </w:p>
    <w:p w14:paraId="0722563A" w14:textId="4910B9EA" w:rsidR="001F511B" w:rsidRPr="001F511B" w:rsidRDefault="001F511B" w:rsidP="001F511B">
      <w:pPr>
        <w:spacing w:line="276" w:lineRule="auto"/>
        <w:jc w:val="right"/>
        <w:rPr>
          <w:rFonts w:ascii="Arial Nova" w:hAnsi="Arial Nova" w:cs="72"/>
          <w:b/>
          <w:bCs/>
          <w:sz w:val="24"/>
          <w:lang w:val="es-ES"/>
        </w:rPr>
      </w:pPr>
      <w:r w:rsidRPr="001F511B">
        <w:rPr>
          <w:rFonts w:ascii="Arial Nova" w:hAnsi="Arial Nova" w:cs="72"/>
          <w:b/>
          <w:bCs/>
          <w:sz w:val="24"/>
          <w:lang w:val="es-ES"/>
        </w:rPr>
        <w:t>UNIVERSIDAD DE LOS ANDES</w:t>
      </w:r>
    </w:p>
    <w:p w14:paraId="57E4C409" w14:textId="77777777" w:rsidR="001F511B" w:rsidRDefault="001F511B" w:rsidP="008E27B8">
      <w:pPr>
        <w:spacing w:line="276" w:lineRule="auto"/>
        <w:jc w:val="both"/>
        <w:rPr>
          <w:rFonts w:ascii="Arial Nova" w:hAnsi="Arial Nova" w:cs="72"/>
          <w:sz w:val="24"/>
          <w:lang w:val="es-ES"/>
        </w:rPr>
      </w:pPr>
    </w:p>
    <w:p w14:paraId="15FCA78C" w14:textId="21B92C49" w:rsidR="00173240" w:rsidRPr="008E27B8" w:rsidRDefault="00173240" w:rsidP="008E27B8">
      <w:pPr>
        <w:spacing w:line="276" w:lineRule="auto"/>
        <w:jc w:val="both"/>
        <w:rPr>
          <w:rFonts w:ascii="Arial Nova" w:hAnsi="Arial Nova" w:cs="72"/>
          <w:sz w:val="24"/>
          <w:lang w:val="es-ES"/>
        </w:rPr>
      </w:pPr>
      <w:r w:rsidRPr="008E27B8">
        <w:rPr>
          <w:rFonts w:ascii="Arial Nova" w:hAnsi="Arial Nova" w:cs="72"/>
          <w:sz w:val="24"/>
          <w:lang w:val="es-ES"/>
        </w:rPr>
        <w:t xml:space="preserve">Es de todos sabido que la jurisdicción es un bien escaso que merece aprovecharse cabalmente. En general, el orden jurídico debe asegurar que jueces y tribunales cumplan rigurosamente su función, dedicando a ella todo el tiempo o la mayor parte del tiempo que sus jornadas de trabajo les permitan. Sólo así es posible hacer realidad dos objetivos esenciales del Estado de Derecho, por un </w:t>
      </w:r>
      <w:r w:rsidR="002A22A3" w:rsidRPr="008E27B8">
        <w:rPr>
          <w:rFonts w:ascii="Arial Nova" w:hAnsi="Arial Nova" w:cs="72"/>
          <w:sz w:val="24"/>
          <w:lang w:val="es-ES"/>
        </w:rPr>
        <w:t>lado,</w:t>
      </w:r>
      <w:r w:rsidRPr="008E27B8">
        <w:rPr>
          <w:rFonts w:ascii="Arial Nova" w:hAnsi="Arial Nova" w:cs="72"/>
          <w:sz w:val="24"/>
          <w:lang w:val="es-ES"/>
        </w:rPr>
        <w:t xml:space="preserve"> el acceso efectivo a la justicia, que debe asegurarse a todos con igualdad, y por otro, el otorgamiento en un tiempo razonable de la tutela requerida para el ejercicio de los derechos.</w:t>
      </w:r>
    </w:p>
    <w:p w14:paraId="18B4707E" w14:textId="77777777" w:rsidR="00173240" w:rsidRPr="008E27B8" w:rsidRDefault="00173240" w:rsidP="008E27B8">
      <w:pPr>
        <w:spacing w:line="276" w:lineRule="auto"/>
        <w:jc w:val="both"/>
        <w:rPr>
          <w:rFonts w:ascii="Arial Nova" w:hAnsi="Arial Nova" w:cs="72"/>
          <w:sz w:val="24"/>
          <w:lang w:val="es-ES"/>
        </w:rPr>
      </w:pPr>
    </w:p>
    <w:p w14:paraId="5D4C41F3" w14:textId="77777777" w:rsidR="00173240" w:rsidRPr="008E27B8" w:rsidRDefault="00173240" w:rsidP="008E27B8">
      <w:pPr>
        <w:spacing w:line="276" w:lineRule="auto"/>
        <w:jc w:val="both"/>
        <w:rPr>
          <w:rFonts w:ascii="Arial Nova" w:hAnsi="Arial Nova" w:cs="72"/>
          <w:sz w:val="24"/>
          <w:lang w:val="es-ES"/>
        </w:rPr>
      </w:pPr>
      <w:r w:rsidRPr="008E27B8">
        <w:rPr>
          <w:rFonts w:ascii="Arial Nova" w:hAnsi="Arial Nova" w:cs="72"/>
          <w:sz w:val="24"/>
          <w:lang w:val="es-ES"/>
        </w:rPr>
        <w:t xml:space="preserve">Surge de la realidad planteada la cuestión del gobierno de los juzgados y tribunales y vinculado con él, pero por sobre él, el del gobierno del Poder Judicial, entendido este como conjunto de atribuciones y competencias no jurisdiccionales que deben asumir los jueces y tribunales y particularmente la Corte Suprema. </w:t>
      </w:r>
    </w:p>
    <w:p w14:paraId="518AFF9D" w14:textId="77777777" w:rsidR="00173240" w:rsidRPr="008E27B8" w:rsidRDefault="00173240" w:rsidP="008E27B8">
      <w:pPr>
        <w:spacing w:line="276" w:lineRule="auto"/>
        <w:jc w:val="both"/>
        <w:rPr>
          <w:rFonts w:ascii="Arial Nova" w:hAnsi="Arial Nova" w:cs="72"/>
          <w:sz w:val="24"/>
          <w:lang w:val="es-ES"/>
        </w:rPr>
      </w:pPr>
    </w:p>
    <w:p w14:paraId="5C7CF8EF" w14:textId="77777777" w:rsidR="00173240" w:rsidRPr="008E27B8" w:rsidRDefault="00173240" w:rsidP="008E27B8">
      <w:pPr>
        <w:spacing w:line="276" w:lineRule="auto"/>
        <w:jc w:val="both"/>
        <w:rPr>
          <w:rFonts w:ascii="Arial Nova" w:hAnsi="Arial Nova" w:cs="72"/>
          <w:sz w:val="24"/>
          <w:lang w:val="es-ES"/>
        </w:rPr>
      </w:pPr>
      <w:r w:rsidRPr="008E27B8">
        <w:rPr>
          <w:rFonts w:ascii="Arial Nova" w:hAnsi="Arial Nova" w:cs="72"/>
          <w:sz w:val="24"/>
          <w:lang w:val="es-ES"/>
        </w:rPr>
        <w:t xml:space="preserve">Todos los jueces y tribunales deben, a más de satisfacer sus responsabilidades jurisdiccionales, desarrollar actividades administrativas -como las de elaborar el presupuesto anual y velar por su ejecución, nombrar a funcionarios administrativos, organizar internamente la operación del juzgado o tribunal, elaborar criterios de gestión administrativa, entre otra- todas vinculadas con la operación y el buen funcionamiento del despacho. El Código Orgánico de Tribunales, precisamente para asegurar la dedicación de los jueces a su función esencial, consagró un modelo de organización administrativa y de gestión para los tribunales penales que ha representado una solución nueva y eficaz al tema planteado. </w:t>
      </w:r>
    </w:p>
    <w:p w14:paraId="4166CCEE" w14:textId="77777777" w:rsidR="00173240" w:rsidRPr="008E27B8" w:rsidRDefault="00173240" w:rsidP="008E27B8">
      <w:pPr>
        <w:spacing w:line="276" w:lineRule="auto"/>
        <w:jc w:val="both"/>
        <w:rPr>
          <w:rFonts w:ascii="Arial Nova" w:hAnsi="Arial Nova" w:cs="72"/>
          <w:sz w:val="24"/>
          <w:lang w:val="es-ES"/>
        </w:rPr>
      </w:pPr>
    </w:p>
    <w:p w14:paraId="1FD093B7" w14:textId="77777777" w:rsidR="00173240" w:rsidRPr="008E27B8" w:rsidRDefault="00173240" w:rsidP="008E27B8">
      <w:pPr>
        <w:spacing w:line="276" w:lineRule="auto"/>
        <w:jc w:val="both"/>
        <w:rPr>
          <w:rFonts w:ascii="Arial Nova" w:hAnsi="Arial Nova" w:cs="72"/>
          <w:sz w:val="24"/>
          <w:lang w:val="es-ES"/>
        </w:rPr>
      </w:pPr>
      <w:r w:rsidRPr="008E27B8">
        <w:rPr>
          <w:rFonts w:ascii="Arial Nova" w:hAnsi="Arial Nova" w:cs="72"/>
          <w:sz w:val="24"/>
          <w:lang w:val="es-ES"/>
        </w:rPr>
        <w:t>De otro lado, también ha sido una respuesta a la necesidad de asegurar el buen funcionamiento administrativo de los juzgados y tribunales, la creación de la Corporación Administrativa del Poder Judicial, dirigida por un Consejo Superior integrado por ministros de la Corte Suprema, a la que encargó la administración de los recursos humanos, financieros, tecnológicos y materiales destinados al funcionamiento de los tribunales ordinarios.</w:t>
      </w:r>
    </w:p>
    <w:p w14:paraId="1FBF9160" w14:textId="77777777" w:rsidR="00173240" w:rsidRPr="008E27B8" w:rsidRDefault="00173240" w:rsidP="008E27B8">
      <w:pPr>
        <w:spacing w:line="276" w:lineRule="auto"/>
        <w:jc w:val="both"/>
        <w:rPr>
          <w:rFonts w:ascii="Arial Nova" w:hAnsi="Arial Nova" w:cs="72"/>
          <w:sz w:val="24"/>
          <w:lang w:val="es-ES"/>
        </w:rPr>
      </w:pPr>
    </w:p>
    <w:p w14:paraId="1338C4B4" w14:textId="77777777" w:rsidR="00173240" w:rsidRPr="008E27B8" w:rsidRDefault="00173240" w:rsidP="008E27B8">
      <w:pPr>
        <w:spacing w:line="276" w:lineRule="auto"/>
        <w:jc w:val="both"/>
        <w:rPr>
          <w:rFonts w:ascii="Arial Nova" w:hAnsi="Arial Nova" w:cs="72"/>
          <w:sz w:val="24"/>
          <w:lang w:val="es-ES"/>
        </w:rPr>
      </w:pPr>
      <w:r w:rsidRPr="008E27B8">
        <w:rPr>
          <w:rFonts w:ascii="Arial Nova" w:hAnsi="Arial Nova" w:cs="72"/>
          <w:sz w:val="24"/>
          <w:lang w:val="es-ES"/>
        </w:rPr>
        <w:lastRenderedPageBreak/>
        <w:t>Con todo, diversas cuestiones relacionadas con el gobierno judicial comprometen reglas jurídicas básicas y objetivos elementales de buen gobierno.</w:t>
      </w:r>
    </w:p>
    <w:p w14:paraId="03DEE30B" w14:textId="77777777" w:rsidR="00173240" w:rsidRPr="008E27B8" w:rsidRDefault="00173240" w:rsidP="008E27B8">
      <w:pPr>
        <w:spacing w:line="276" w:lineRule="auto"/>
        <w:jc w:val="both"/>
        <w:rPr>
          <w:rFonts w:ascii="Arial Nova" w:hAnsi="Arial Nova" w:cs="72"/>
          <w:sz w:val="24"/>
          <w:lang w:val="es-ES"/>
        </w:rPr>
      </w:pPr>
    </w:p>
    <w:p w14:paraId="18B8D293" w14:textId="1DF9539B" w:rsidR="00173240" w:rsidRDefault="00173240" w:rsidP="008E27B8">
      <w:pPr>
        <w:spacing w:line="276" w:lineRule="auto"/>
        <w:jc w:val="both"/>
        <w:rPr>
          <w:rFonts w:ascii="Arial Nova" w:hAnsi="Arial Nova" w:cs="72"/>
          <w:sz w:val="24"/>
          <w:lang w:val="es-ES"/>
        </w:rPr>
      </w:pPr>
      <w:r w:rsidRPr="008E27B8">
        <w:rPr>
          <w:rFonts w:ascii="Arial Nova" w:hAnsi="Arial Nova" w:cs="72"/>
          <w:sz w:val="24"/>
          <w:lang w:val="es-ES"/>
        </w:rPr>
        <w:t>La presente minuta tiene por objeto observar algunas cuestiones en torno a la función jurisdiccional y la forma como impacta en el diseño institucional de la organización administrativa y disciplinaria del Poder Judicial. El anteproyecto de texto constitucional de 2023 establece la separación administrativa y disciplinaria por la creación de cinco órganos autónomos, que deberán funcionar separadamente y de forma coordinada, encargados de los nombramientos de los integrantes del Poder Judicial, el ejercicio de las facultades disciplinarias y de perfeccionamiento de jueces y funcionarios, bien como la gestión y administración del Poder Judicial.</w:t>
      </w:r>
    </w:p>
    <w:p w14:paraId="30C60F32" w14:textId="77777777" w:rsidR="00D53494" w:rsidRDefault="00D53494" w:rsidP="008E27B8">
      <w:pPr>
        <w:spacing w:line="276" w:lineRule="auto"/>
        <w:jc w:val="both"/>
        <w:rPr>
          <w:rFonts w:ascii="Arial Nova" w:hAnsi="Arial Nova" w:cs="72"/>
          <w:sz w:val="24"/>
          <w:lang w:val="es-ES"/>
        </w:rPr>
      </w:pPr>
    </w:p>
    <w:p w14:paraId="7E2994AC" w14:textId="7A5A472F" w:rsidR="00D53494" w:rsidRPr="00D53494" w:rsidRDefault="00D53494" w:rsidP="00D53494">
      <w:pPr>
        <w:spacing w:line="276" w:lineRule="auto"/>
        <w:jc w:val="both"/>
        <w:rPr>
          <w:rFonts w:ascii="Arial Nova" w:hAnsi="Arial Nova" w:cs="72"/>
          <w:b/>
          <w:bCs/>
          <w:sz w:val="24"/>
          <w:lang w:val="es-419"/>
        </w:rPr>
      </w:pPr>
      <w:r w:rsidRPr="00D53494">
        <w:rPr>
          <w:rFonts w:ascii="Arial Nova" w:hAnsi="Arial Nova" w:cs="72"/>
          <w:b/>
          <w:bCs/>
          <w:sz w:val="24"/>
          <w:lang w:val="es-419"/>
        </w:rPr>
        <w:t>ASPECTOS POSITIVOS:</w:t>
      </w:r>
    </w:p>
    <w:p w14:paraId="1C398A9D" w14:textId="77777777" w:rsidR="00D53494" w:rsidRPr="008E27B8" w:rsidRDefault="00D53494" w:rsidP="00D53494">
      <w:pPr>
        <w:spacing w:line="276" w:lineRule="auto"/>
        <w:jc w:val="both"/>
        <w:rPr>
          <w:rFonts w:ascii="Arial Nova" w:hAnsi="Arial Nova" w:cs="72"/>
          <w:sz w:val="24"/>
          <w:lang w:val="es-419"/>
        </w:rPr>
      </w:pPr>
    </w:p>
    <w:p w14:paraId="668773E3" w14:textId="77777777" w:rsidR="00D53494" w:rsidRDefault="00D53494" w:rsidP="00D53494">
      <w:pPr>
        <w:numPr>
          <w:ilvl w:val="3"/>
          <w:numId w:val="1"/>
        </w:numPr>
        <w:spacing w:line="276" w:lineRule="auto"/>
        <w:ind w:left="0" w:firstLine="0"/>
        <w:jc w:val="both"/>
        <w:rPr>
          <w:rFonts w:ascii="Arial Nova" w:hAnsi="Arial Nova" w:cs="72"/>
          <w:sz w:val="24"/>
          <w:lang w:val="es-419"/>
        </w:rPr>
      </w:pPr>
      <w:r w:rsidRPr="008E27B8">
        <w:rPr>
          <w:rFonts w:ascii="Arial Nova" w:hAnsi="Arial Nova" w:cs="72"/>
          <w:sz w:val="24"/>
          <w:lang w:val="es-419"/>
        </w:rPr>
        <w:t>El primer aspecto positivo a destacar fue la separación de funciones jurisdiccionales de las administrativas de la Corte Suprema.</w:t>
      </w:r>
    </w:p>
    <w:p w14:paraId="1BC46D86" w14:textId="77777777" w:rsidR="00344C48" w:rsidRPr="008E27B8" w:rsidRDefault="00344C48" w:rsidP="00344C48">
      <w:pPr>
        <w:spacing w:line="276" w:lineRule="auto"/>
        <w:jc w:val="both"/>
        <w:rPr>
          <w:rFonts w:ascii="Arial Nova" w:hAnsi="Arial Nova" w:cs="72"/>
          <w:sz w:val="24"/>
          <w:lang w:val="es-419"/>
        </w:rPr>
      </w:pPr>
    </w:p>
    <w:p w14:paraId="7575B6E9" w14:textId="77777777" w:rsidR="00D53494" w:rsidRDefault="00D53494" w:rsidP="00D53494">
      <w:pPr>
        <w:numPr>
          <w:ilvl w:val="3"/>
          <w:numId w:val="1"/>
        </w:numPr>
        <w:spacing w:line="276" w:lineRule="auto"/>
        <w:ind w:left="0" w:firstLine="0"/>
        <w:jc w:val="both"/>
        <w:rPr>
          <w:rFonts w:ascii="Arial Nova" w:hAnsi="Arial Nova" w:cs="72"/>
          <w:sz w:val="24"/>
          <w:lang w:val="es-419"/>
        </w:rPr>
      </w:pPr>
      <w:r w:rsidRPr="008E27B8">
        <w:rPr>
          <w:rFonts w:ascii="Arial Nova" w:hAnsi="Arial Nova" w:cs="72"/>
          <w:sz w:val="24"/>
          <w:lang w:val="es-419"/>
        </w:rPr>
        <w:t>La incorporación expresa de la independencia e imparcialidad como principios fundamentales del Poder Judicial.</w:t>
      </w:r>
    </w:p>
    <w:p w14:paraId="25D34D00" w14:textId="77777777" w:rsidR="00344C48" w:rsidRDefault="00344C48" w:rsidP="00344C48">
      <w:pPr>
        <w:pStyle w:val="Prrafodelista"/>
        <w:rPr>
          <w:rFonts w:ascii="Arial Nova" w:hAnsi="Arial Nova" w:cs="72"/>
          <w:sz w:val="24"/>
          <w:lang w:val="es-419"/>
        </w:rPr>
      </w:pPr>
    </w:p>
    <w:p w14:paraId="3FF6F49E" w14:textId="77777777" w:rsidR="00D53494" w:rsidRDefault="00D53494" w:rsidP="00D53494">
      <w:pPr>
        <w:numPr>
          <w:ilvl w:val="3"/>
          <w:numId w:val="1"/>
        </w:numPr>
        <w:spacing w:line="276" w:lineRule="auto"/>
        <w:ind w:left="0" w:firstLine="0"/>
        <w:jc w:val="both"/>
        <w:rPr>
          <w:rFonts w:ascii="Arial Nova" w:hAnsi="Arial Nova" w:cs="72"/>
          <w:sz w:val="24"/>
          <w:lang w:val="es-419"/>
        </w:rPr>
      </w:pPr>
      <w:r w:rsidRPr="008E27B8">
        <w:rPr>
          <w:rFonts w:ascii="Arial Nova" w:hAnsi="Arial Nova" w:cs="72"/>
          <w:sz w:val="24"/>
          <w:lang w:val="es-419"/>
        </w:rPr>
        <w:t>La referencia general a que ningún órgano del Estado ni autoridad puede conocer causas pendientes, revisar los fundamentos o contenidos de las resoluciones judiciales o reabrir procesos concluidos. Ello es un avance de la regulación actual que refiere esa prohibición al Presidente de la República y al Congreso Nacional, lo que ha llevado a alguna doctrina a entender que es una prohibición taxativa, por lo tanto, un ministro, un subsecretario, un jefe de servicio o bien, la Cámara de Diputados o el Senado, podrían ejercer la función jurisdiccional. Esa interpretación ahora ya no sería posible.</w:t>
      </w:r>
    </w:p>
    <w:p w14:paraId="792AFDAD" w14:textId="77777777" w:rsidR="00344C48" w:rsidRPr="008E27B8" w:rsidRDefault="00344C48" w:rsidP="00344C48">
      <w:pPr>
        <w:spacing w:line="276" w:lineRule="auto"/>
        <w:jc w:val="both"/>
        <w:rPr>
          <w:rFonts w:ascii="Arial Nova" w:hAnsi="Arial Nova" w:cs="72"/>
          <w:sz w:val="24"/>
          <w:lang w:val="es-419"/>
        </w:rPr>
      </w:pPr>
    </w:p>
    <w:p w14:paraId="00132180" w14:textId="77777777" w:rsidR="00D53494" w:rsidRDefault="00D53494" w:rsidP="00D53494">
      <w:pPr>
        <w:numPr>
          <w:ilvl w:val="3"/>
          <w:numId w:val="1"/>
        </w:numPr>
        <w:spacing w:line="276" w:lineRule="auto"/>
        <w:ind w:left="0" w:firstLine="0"/>
        <w:jc w:val="both"/>
        <w:rPr>
          <w:rFonts w:ascii="Arial Nova" w:hAnsi="Arial Nova" w:cs="72"/>
          <w:sz w:val="24"/>
          <w:lang w:val="es-419"/>
        </w:rPr>
      </w:pPr>
      <w:r w:rsidRPr="008E27B8">
        <w:rPr>
          <w:rFonts w:ascii="Arial Nova" w:hAnsi="Arial Nova" w:cs="72"/>
          <w:sz w:val="24"/>
          <w:lang w:val="es-419"/>
        </w:rPr>
        <w:t>El fin de los abogados integrantes en las Cortes, quienes son reemplazados por los ministros suplentes de dedicación exclusiva.</w:t>
      </w:r>
    </w:p>
    <w:p w14:paraId="53743D8B" w14:textId="77777777" w:rsidR="00344C48" w:rsidRDefault="00344C48" w:rsidP="00344C48">
      <w:pPr>
        <w:pStyle w:val="Prrafodelista"/>
        <w:rPr>
          <w:rFonts w:ascii="Arial Nova" w:hAnsi="Arial Nova" w:cs="72"/>
          <w:sz w:val="24"/>
          <w:lang w:val="es-419"/>
        </w:rPr>
      </w:pPr>
    </w:p>
    <w:p w14:paraId="78F8E5A4" w14:textId="77777777" w:rsidR="00D53494" w:rsidRDefault="00D53494" w:rsidP="00D53494">
      <w:pPr>
        <w:numPr>
          <w:ilvl w:val="3"/>
          <w:numId w:val="1"/>
        </w:numPr>
        <w:spacing w:line="276" w:lineRule="auto"/>
        <w:ind w:left="0" w:firstLine="0"/>
        <w:jc w:val="both"/>
        <w:rPr>
          <w:rFonts w:ascii="Arial Nova" w:hAnsi="Arial Nova" w:cs="72"/>
          <w:sz w:val="24"/>
          <w:lang w:val="es-419"/>
        </w:rPr>
      </w:pPr>
      <w:r w:rsidRPr="008E27B8">
        <w:rPr>
          <w:rFonts w:ascii="Arial Nova" w:hAnsi="Arial Nova" w:cs="72"/>
          <w:sz w:val="24"/>
          <w:lang w:val="es-419"/>
        </w:rPr>
        <w:t>El fin de la referencia decimonónica de causas civiles y criminales, lo que deja fuera de cobertura constitucional a todas las demás causas como las administrativas, tributarias, ambientales, laborales, etc.</w:t>
      </w:r>
    </w:p>
    <w:p w14:paraId="2A721799" w14:textId="77777777" w:rsidR="00344C48" w:rsidRDefault="00344C48" w:rsidP="00344C48">
      <w:pPr>
        <w:pStyle w:val="Prrafodelista"/>
        <w:rPr>
          <w:rFonts w:ascii="Arial Nova" w:hAnsi="Arial Nova" w:cs="72"/>
          <w:sz w:val="24"/>
          <w:lang w:val="es-419"/>
        </w:rPr>
      </w:pPr>
    </w:p>
    <w:p w14:paraId="7F8EC2FB" w14:textId="77777777" w:rsidR="00D53494" w:rsidRPr="008E27B8" w:rsidRDefault="00D53494" w:rsidP="00D53494">
      <w:pPr>
        <w:numPr>
          <w:ilvl w:val="3"/>
          <w:numId w:val="1"/>
        </w:numPr>
        <w:spacing w:line="276" w:lineRule="auto"/>
        <w:ind w:left="0" w:firstLine="0"/>
        <w:jc w:val="both"/>
        <w:rPr>
          <w:rFonts w:ascii="Arial Nova" w:hAnsi="Arial Nova" w:cs="72"/>
          <w:sz w:val="24"/>
          <w:lang w:val="es-419"/>
        </w:rPr>
      </w:pPr>
      <w:r w:rsidRPr="008E27B8">
        <w:rPr>
          <w:rFonts w:ascii="Arial Nova" w:hAnsi="Arial Nova" w:cs="72"/>
          <w:sz w:val="24"/>
          <w:lang w:val="es-419"/>
        </w:rPr>
        <w:t>La referencia a factores objetivos para nominar a los jueces, como capacidad profesional, mérito, probidad, experiencia.</w:t>
      </w:r>
    </w:p>
    <w:p w14:paraId="22DB0F25" w14:textId="77777777" w:rsidR="00D53494" w:rsidRPr="008E27B8" w:rsidRDefault="00D53494" w:rsidP="00D53494">
      <w:pPr>
        <w:spacing w:line="276" w:lineRule="auto"/>
        <w:jc w:val="both"/>
        <w:rPr>
          <w:rFonts w:ascii="Arial Nova" w:hAnsi="Arial Nova" w:cs="72"/>
          <w:sz w:val="24"/>
          <w:lang w:val="es-419"/>
        </w:rPr>
      </w:pPr>
    </w:p>
    <w:p w14:paraId="50715826" w14:textId="17F55B07" w:rsidR="00D53494" w:rsidRDefault="00D53494" w:rsidP="008E27B8">
      <w:pPr>
        <w:spacing w:line="276" w:lineRule="auto"/>
        <w:jc w:val="both"/>
        <w:rPr>
          <w:rFonts w:ascii="Arial Nova" w:hAnsi="Arial Nova" w:cs="72"/>
          <w:b/>
          <w:bCs/>
          <w:sz w:val="24"/>
          <w:lang w:val="es-ES"/>
        </w:rPr>
      </w:pPr>
      <w:r>
        <w:rPr>
          <w:rFonts w:ascii="Arial Nova" w:hAnsi="Arial Nova" w:cs="72"/>
          <w:b/>
          <w:bCs/>
          <w:sz w:val="24"/>
          <w:lang w:val="es-ES"/>
        </w:rPr>
        <w:lastRenderedPageBreak/>
        <w:t xml:space="preserve">ASPECTOS </w:t>
      </w:r>
      <w:r w:rsidR="00632684">
        <w:rPr>
          <w:rFonts w:ascii="Arial Nova" w:hAnsi="Arial Nova" w:cs="72"/>
          <w:b/>
          <w:bCs/>
          <w:sz w:val="24"/>
          <w:lang w:val="es-ES"/>
        </w:rPr>
        <w:t>OBSERVABLES</w:t>
      </w:r>
    </w:p>
    <w:p w14:paraId="2F57CFAD" w14:textId="77777777" w:rsidR="00D53494" w:rsidRDefault="00D53494" w:rsidP="008E27B8">
      <w:pPr>
        <w:spacing w:line="276" w:lineRule="auto"/>
        <w:jc w:val="both"/>
        <w:rPr>
          <w:rFonts w:ascii="Arial Nova" w:hAnsi="Arial Nova" w:cs="72"/>
          <w:b/>
          <w:bCs/>
          <w:sz w:val="24"/>
          <w:lang w:val="es-ES"/>
        </w:rPr>
      </w:pPr>
    </w:p>
    <w:p w14:paraId="4801CF7A" w14:textId="57E13323" w:rsidR="00387E63" w:rsidRPr="00D53494" w:rsidRDefault="00D53494" w:rsidP="008E27B8">
      <w:pPr>
        <w:spacing w:line="276" w:lineRule="auto"/>
        <w:jc w:val="both"/>
        <w:rPr>
          <w:rFonts w:ascii="Arial Nova" w:hAnsi="Arial Nova" w:cs="72"/>
          <w:b/>
          <w:bCs/>
          <w:sz w:val="24"/>
          <w:lang w:val="es-ES"/>
        </w:rPr>
      </w:pPr>
      <w:r>
        <w:rPr>
          <w:rFonts w:ascii="Arial Nova" w:hAnsi="Arial Nova" w:cs="72"/>
          <w:b/>
          <w:bCs/>
          <w:sz w:val="24"/>
          <w:lang w:val="es-ES"/>
        </w:rPr>
        <w:t xml:space="preserve">1. </w:t>
      </w:r>
      <w:r w:rsidR="00387E63" w:rsidRPr="00D53494">
        <w:rPr>
          <w:rFonts w:ascii="Arial Nova" w:hAnsi="Arial Nova" w:cs="72"/>
          <w:b/>
          <w:bCs/>
          <w:sz w:val="24"/>
          <w:lang w:val="es-ES"/>
        </w:rPr>
        <w:t>LA FORMA COMO SE PLANTEA LA FUNCIÓN JURISDICCIONAL PRESENTA UN PROBLEMA DESDE EL PUNTO DE VISTA DE LA UNIDAD DE JURISDICCIÓN.</w:t>
      </w:r>
    </w:p>
    <w:p w14:paraId="7E666BB1" w14:textId="77777777" w:rsidR="00387E63" w:rsidRPr="00D53494" w:rsidRDefault="00387E63" w:rsidP="008E27B8">
      <w:pPr>
        <w:spacing w:line="276" w:lineRule="auto"/>
        <w:jc w:val="both"/>
        <w:rPr>
          <w:rFonts w:ascii="Arial Nova" w:hAnsi="Arial Nova" w:cs="72"/>
          <w:b/>
          <w:bCs/>
          <w:sz w:val="24"/>
          <w:lang w:val="es-ES"/>
        </w:rPr>
      </w:pPr>
    </w:p>
    <w:p w14:paraId="5B77491A" w14:textId="77777777" w:rsidR="00387E63" w:rsidRPr="008E27B8" w:rsidRDefault="00387E63" w:rsidP="008E27B8">
      <w:pPr>
        <w:spacing w:line="276" w:lineRule="auto"/>
        <w:jc w:val="both"/>
        <w:rPr>
          <w:rFonts w:ascii="Arial Nova" w:hAnsi="Arial Nova" w:cs="72"/>
          <w:sz w:val="24"/>
        </w:rPr>
      </w:pPr>
      <w:r w:rsidRPr="008E27B8">
        <w:rPr>
          <w:rFonts w:ascii="Arial Nova" w:hAnsi="Arial Nova" w:cs="72"/>
          <w:sz w:val="24"/>
        </w:rPr>
        <w:t>La propuesta del anteproyecto propone como nueva base para regular la función jurisdiccional la siguiente:</w:t>
      </w:r>
    </w:p>
    <w:p w14:paraId="0A3C40C4" w14:textId="77777777" w:rsidR="00387E63" w:rsidRPr="008E27B8" w:rsidRDefault="00387E63" w:rsidP="008E27B8">
      <w:pPr>
        <w:spacing w:line="276" w:lineRule="auto"/>
        <w:jc w:val="both"/>
        <w:rPr>
          <w:rFonts w:ascii="Arial Nova" w:hAnsi="Arial Nova" w:cs="72"/>
          <w:sz w:val="24"/>
        </w:rPr>
      </w:pPr>
      <w:r w:rsidRPr="008E27B8">
        <w:rPr>
          <w:rFonts w:ascii="Arial Nova" w:hAnsi="Arial Nova" w:cs="72"/>
          <w:sz w:val="24"/>
        </w:rPr>
        <w:t xml:space="preserve"> Artículo 153 </w:t>
      </w:r>
    </w:p>
    <w:p w14:paraId="448D5C45" w14:textId="77777777" w:rsidR="00387E63" w:rsidRPr="008E27B8" w:rsidRDefault="00387E63" w:rsidP="008E27B8">
      <w:pPr>
        <w:spacing w:line="276" w:lineRule="auto"/>
        <w:jc w:val="both"/>
        <w:rPr>
          <w:rFonts w:ascii="Arial Nova" w:hAnsi="Arial Nova" w:cs="72"/>
          <w:sz w:val="24"/>
        </w:rPr>
      </w:pPr>
      <w:r w:rsidRPr="008E27B8">
        <w:rPr>
          <w:rFonts w:ascii="Arial Nova" w:hAnsi="Arial Nova" w:cs="72"/>
          <w:sz w:val="24"/>
        </w:rPr>
        <w:t xml:space="preserve">1. La función jurisdiccional es la facultad de conocer y resolver los conflictos de relevancia jurídica y hacer ejecutar lo juzgado, potestad que radica exclusivamente en los jueces que integran los tribunales previamente establecidos por la ley. </w:t>
      </w:r>
    </w:p>
    <w:p w14:paraId="7E199E53" w14:textId="77777777" w:rsidR="00387E63" w:rsidRPr="008E27B8" w:rsidRDefault="00387E63" w:rsidP="008E27B8">
      <w:pPr>
        <w:spacing w:line="276" w:lineRule="auto"/>
        <w:jc w:val="both"/>
        <w:rPr>
          <w:rFonts w:ascii="Arial Nova" w:hAnsi="Arial Nova" w:cs="72"/>
          <w:sz w:val="24"/>
        </w:rPr>
      </w:pPr>
      <w:r w:rsidRPr="008E27B8">
        <w:rPr>
          <w:rFonts w:ascii="Arial Nova" w:hAnsi="Arial Nova" w:cs="72"/>
          <w:sz w:val="24"/>
        </w:rPr>
        <w:t xml:space="preserve">2. Los jueces se sujetarán a la Constitución y a la ley y no podrán en caso alguno ejercer potestades de otros poderes públicos. </w:t>
      </w:r>
    </w:p>
    <w:p w14:paraId="37DBDF7F" w14:textId="77777777" w:rsidR="00387E63" w:rsidRPr="008E27B8" w:rsidRDefault="00387E63" w:rsidP="008E27B8">
      <w:pPr>
        <w:spacing w:line="276" w:lineRule="auto"/>
        <w:jc w:val="both"/>
        <w:rPr>
          <w:rFonts w:ascii="Arial Nova" w:hAnsi="Arial Nova" w:cs="72"/>
          <w:sz w:val="24"/>
        </w:rPr>
      </w:pPr>
      <w:r w:rsidRPr="008E27B8">
        <w:rPr>
          <w:rFonts w:ascii="Arial Nova" w:hAnsi="Arial Nova" w:cs="72"/>
          <w:sz w:val="24"/>
        </w:rPr>
        <w:t>3. Se propenderá a la utilización del arbitraje, la mediación y otros medios alternativos de resolución de conflictos. Estos procedimientos se aplicarán en conformidad a la ley.</w:t>
      </w:r>
    </w:p>
    <w:p w14:paraId="0919E308" w14:textId="6C29E793" w:rsidR="00387E63" w:rsidRPr="008E27B8" w:rsidRDefault="00387E63" w:rsidP="008E27B8">
      <w:pPr>
        <w:spacing w:line="276" w:lineRule="auto"/>
        <w:jc w:val="both"/>
        <w:rPr>
          <w:rFonts w:ascii="Arial Nova" w:hAnsi="Arial Nova" w:cs="72"/>
          <w:sz w:val="24"/>
        </w:rPr>
      </w:pPr>
      <w:r w:rsidRPr="008E27B8">
        <w:rPr>
          <w:rFonts w:ascii="Arial Nova" w:hAnsi="Arial Nova" w:cs="72"/>
          <w:sz w:val="24"/>
        </w:rPr>
        <w:t xml:space="preserve">El precepto propuesto presenta deficiencias técnicas en relación con la actual norma, y que ha forma parte de la tradición constitucional chilena. </w:t>
      </w:r>
    </w:p>
    <w:p w14:paraId="54D5482A" w14:textId="77777777" w:rsidR="00632684" w:rsidRDefault="00632684" w:rsidP="008E27B8">
      <w:pPr>
        <w:spacing w:line="276" w:lineRule="auto"/>
        <w:jc w:val="both"/>
        <w:rPr>
          <w:rFonts w:ascii="Arial Nova" w:hAnsi="Arial Nova" w:cs="72"/>
          <w:b/>
          <w:bCs/>
          <w:sz w:val="24"/>
        </w:rPr>
      </w:pPr>
    </w:p>
    <w:p w14:paraId="21502851" w14:textId="3AB1DF6E" w:rsidR="00387E63" w:rsidRPr="00D53494" w:rsidRDefault="00387E63" w:rsidP="008E27B8">
      <w:pPr>
        <w:spacing w:line="276" w:lineRule="auto"/>
        <w:jc w:val="both"/>
        <w:rPr>
          <w:rFonts w:ascii="Arial Nova" w:hAnsi="Arial Nova" w:cs="72"/>
          <w:b/>
          <w:bCs/>
          <w:sz w:val="24"/>
        </w:rPr>
      </w:pPr>
      <w:r w:rsidRPr="00D53494">
        <w:rPr>
          <w:rFonts w:ascii="Arial Nova" w:hAnsi="Arial Nova" w:cs="72"/>
          <w:b/>
          <w:bCs/>
          <w:sz w:val="24"/>
        </w:rPr>
        <w:t>RAZONES</w:t>
      </w:r>
    </w:p>
    <w:p w14:paraId="76B0E735" w14:textId="77777777" w:rsidR="00D14E76" w:rsidRPr="00632684" w:rsidRDefault="00D14E76" w:rsidP="008E27B8">
      <w:pPr>
        <w:numPr>
          <w:ilvl w:val="0"/>
          <w:numId w:val="3"/>
        </w:numPr>
        <w:tabs>
          <w:tab w:val="clear" w:pos="720"/>
          <w:tab w:val="num" w:pos="0"/>
        </w:tabs>
        <w:spacing w:line="276" w:lineRule="auto"/>
        <w:ind w:left="0" w:firstLine="0"/>
        <w:jc w:val="both"/>
        <w:rPr>
          <w:rFonts w:ascii="Arial Nova" w:hAnsi="Arial Nova" w:cs="72"/>
          <w:sz w:val="24"/>
        </w:rPr>
      </w:pPr>
      <w:r w:rsidRPr="00632684">
        <w:rPr>
          <w:rFonts w:ascii="Arial Nova" w:hAnsi="Arial Nova" w:cs="72"/>
          <w:sz w:val="24"/>
        </w:rPr>
        <w:t>Se radica la función jurisdiccional en los jueces, siendo que debe radicar en los tribunales de justicia como órganos públicos.</w:t>
      </w:r>
    </w:p>
    <w:p w14:paraId="7BA2C347" w14:textId="5AC7EEBF" w:rsidR="00D14E76" w:rsidRPr="008E27B8" w:rsidRDefault="00D14E76" w:rsidP="008E27B8">
      <w:pPr>
        <w:numPr>
          <w:ilvl w:val="0"/>
          <w:numId w:val="3"/>
        </w:numPr>
        <w:tabs>
          <w:tab w:val="clear" w:pos="720"/>
          <w:tab w:val="num" w:pos="0"/>
        </w:tabs>
        <w:spacing w:line="276" w:lineRule="auto"/>
        <w:ind w:left="0" w:firstLine="0"/>
        <w:jc w:val="both"/>
        <w:rPr>
          <w:rFonts w:ascii="Arial Nova" w:hAnsi="Arial Nova" w:cs="72"/>
          <w:sz w:val="24"/>
        </w:rPr>
      </w:pPr>
      <w:r w:rsidRPr="008E27B8">
        <w:rPr>
          <w:rFonts w:ascii="Arial Nova" w:hAnsi="Arial Nova" w:cs="72"/>
          <w:sz w:val="24"/>
        </w:rPr>
        <w:t xml:space="preserve">El art. 153.1 restringe la función jurisdiccional a la resolución de “conflictos de relevancia jurídica”, lo que deja fuera otras actuaciones judiciales como las declarativas, no contenciosas y las voluntarias que no son “conflictos”, pero que igualmente se encuentran dentro de la órbita de competencia de los tribunales de Justicia </w:t>
      </w:r>
    </w:p>
    <w:p w14:paraId="2E2A71B5" w14:textId="77777777" w:rsidR="00D14E76" w:rsidRDefault="00D14E76" w:rsidP="008E27B8">
      <w:pPr>
        <w:numPr>
          <w:ilvl w:val="0"/>
          <w:numId w:val="3"/>
        </w:numPr>
        <w:tabs>
          <w:tab w:val="clear" w:pos="720"/>
          <w:tab w:val="num" w:pos="0"/>
        </w:tabs>
        <w:spacing w:line="276" w:lineRule="auto"/>
        <w:ind w:left="0" w:firstLine="0"/>
        <w:jc w:val="both"/>
        <w:rPr>
          <w:rFonts w:ascii="Arial Nova" w:hAnsi="Arial Nova" w:cs="72"/>
          <w:sz w:val="24"/>
        </w:rPr>
      </w:pPr>
      <w:r w:rsidRPr="008E27B8">
        <w:rPr>
          <w:rFonts w:ascii="Arial Nova" w:hAnsi="Arial Nova" w:cs="72"/>
          <w:sz w:val="24"/>
        </w:rPr>
        <w:t>La mención del artículo 153.3 a los “medios alternativos de resolución de conflictos” en el capítulo del Poder Judicial restringe el uso de estos mecanismos al ámbito jurisdiccional, lo que debilita su utilización en otros ámbitos como ocurre hoy. Se sugiere por ello trasladarlos a la regulación de derecho acceso a la justicia. Asimismo, se sugiere cambiar su denominación por la de “medios autocompositivos”, en coherencia con lo señalado por la doctrina y las últimas reformas introducidas al Código de Procedimiento Civil.</w:t>
      </w:r>
    </w:p>
    <w:p w14:paraId="21330A9A" w14:textId="77777777" w:rsidR="00EE1C19" w:rsidRDefault="00CF3688" w:rsidP="00CF3688">
      <w:pPr>
        <w:numPr>
          <w:ilvl w:val="0"/>
          <w:numId w:val="3"/>
        </w:numPr>
        <w:tabs>
          <w:tab w:val="clear" w:pos="720"/>
        </w:tabs>
        <w:spacing w:line="276" w:lineRule="auto"/>
        <w:ind w:left="0" w:firstLine="0"/>
        <w:jc w:val="both"/>
        <w:rPr>
          <w:rFonts w:ascii="Arial Nova" w:hAnsi="Arial Nova" w:cs="72"/>
          <w:sz w:val="24"/>
          <w:lang w:val="es-419"/>
        </w:rPr>
      </w:pPr>
      <w:r w:rsidRPr="008E27B8">
        <w:rPr>
          <w:rFonts w:ascii="Arial Nova" w:hAnsi="Arial Nova" w:cs="72"/>
          <w:sz w:val="24"/>
          <w:lang w:val="es-419"/>
        </w:rPr>
        <w:t xml:space="preserve">Una confusa mención a los tribunales que integran el Poder Judicial, toda vez que se refiere expresamente a la Corte Suprema, Cortes de Apelaciones, jueces letrados y tribunales de asuntos vecinales o de proximidad. Surge por tanto la duda de si esos jueces letrados son los de los Juzgados de Letras actualmente existentes, </w:t>
      </w:r>
      <w:r w:rsidRPr="008E27B8">
        <w:rPr>
          <w:rFonts w:ascii="Arial Nova" w:hAnsi="Arial Nova" w:cs="72"/>
          <w:sz w:val="24"/>
          <w:lang w:val="es-419"/>
        </w:rPr>
        <w:lastRenderedPageBreak/>
        <w:t xml:space="preserve">o si todo juez deberá ser letrado (abogado), con lo que cual se impediría que profesionales de otras áreas integren tribunales. </w:t>
      </w:r>
    </w:p>
    <w:p w14:paraId="641B5E03" w14:textId="77777777" w:rsidR="00EE1C19" w:rsidRDefault="00CF3688" w:rsidP="00EE1C19">
      <w:pPr>
        <w:numPr>
          <w:ilvl w:val="0"/>
          <w:numId w:val="3"/>
        </w:numPr>
        <w:tabs>
          <w:tab w:val="clear" w:pos="720"/>
        </w:tabs>
        <w:spacing w:line="276" w:lineRule="auto"/>
        <w:ind w:left="0" w:firstLine="0"/>
        <w:jc w:val="both"/>
        <w:rPr>
          <w:rFonts w:ascii="Arial Nova" w:hAnsi="Arial Nova" w:cs="72"/>
          <w:sz w:val="24"/>
          <w:lang w:val="es-419"/>
        </w:rPr>
      </w:pPr>
      <w:r w:rsidRPr="008E27B8">
        <w:rPr>
          <w:rFonts w:ascii="Arial Nova" w:hAnsi="Arial Nova" w:cs="72"/>
          <w:sz w:val="24"/>
          <w:lang w:val="es-419"/>
        </w:rPr>
        <w:t xml:space="preserve">En este mismo sentido, surge la duda si sigue existiendo como hoy una Magistratura fragmentada entre tribunales que forman parte del Poder Judicial y los que están fuera del Poder Judicial. Esto tiene relevancia, pues actualmente los que están fuera del Poder Judicial no tienen cobertura constitucional, pudiendo, en principio, el legislador regularlos sin ningún parámetro constitucional. </w:t>
      </w:r>
    </w:p>
    <w:p w14:paraId="0A033623" w14:textId="50ABA665" w:rsidR="00EE1C19" w:rsidRPr="00632684" w:rsidRDefault="00EE1C19" w:rsidP="00EE1C19">
      <w:pPr>
        <w:numPr>
          <w:ilvl w:val="0"/>
          <w:numId w:val="3"/>
        </w:numPr>
        <w:tabs>
          <w:tab w:val="clear" w:pos="720"/>
        </w:tabs>
        <w:spacing w:line="276" w:lineRule="auto"/>
        <w:ind w:left="0" w:firstLine="0"/>
        <w:jc w:val="both"/>
        <w:rPr>
          <w:rFonts w:ascii="Arial Nova" w:hAnsi="Arial Nova" w:cs="72"/>
          <w:sz w:val="24"/>
          <w:lang w:val="es-419"/>
        </w:rPr>
      </w:pPr>
      <w:r w:rsidRPr="00EE1C19">
        <w:rPr>
          <w:rFonts w:ascii="Arial Nova" w:hAnsi="Arial Nova" w:cs="72"/>
          <w:sz w:val="24"/>
        </w:rPr>
        <w:t>No parece adecuado, además, regular en el propio texto constitucional la existencia de tribunales de proximidad, cuestión que en último término debiera ser parte de la regulación sobre acceso a la Justicia, ni tampoco tribunales de conducta.</w:t>
      </w:r>
    </w:p>
    <w:p w14:paraId="5F8AAADF" w14:textId="77777777" w:rsidR="00EE1C19" w:rsidRPr="008E27B8" w:rsidRDefault="00EE1C19" w:rsidP="008E27B8">
      <w:pPr>
        <w:spacing w:line="276" w:lineRule="auto"/>
        <w:jc w:val="both"/>
        <w:rPr>
          <w:rFonts w:ascii="Arial Nova" w:hAnsi="Arial Nova" w:cs="72"/>
          <w:sz w:val="24"/>
        </w:rPr>
      </w:pPr>
    </w:p>
    <w:p w14:paraId="5FC63124" w14:textId="4ADF8924" w:rsidR="00387E63" w:rsidRPr="00D53494" w:rsidRDefault="008E27B8" w:rsidP="00D53494">
      <w:pPr>
        <w:pStyle w:val="Prrafodelista"/>
        <w:numPr>
          <w:ilvl w:val="0"/>
          <w:numId w:val="1"/>
        </w:numPr>
        <w:spacing w:line="276" w:lineRule="auto"/>
        <w:jc w:val="both"/>
        <w:rPr>
          <w:rFonts w:ascii="Arial Nova" w:hAnsi="Arial Nova" w:cs="72"/>
          <w:b/>
          <w:bCs/>
          <w:sz w:val="24"/>
        </w:rPr>
      </w:pPr>
      <w:r w:rsidRPr="00D53494">
        <w:rPr>
          <w:rFonts w:ascii="Arial Nova" w:hAnsi="Arial Nova" w:cs="72"/>
          <w:b/>
          <w:bCs/>
          <w:sz w:val="24"/>
        </w:rPr>
        <w:t>ELIMINACION DEL ARTÍCULO 154 DEL ANTEPROYECTO</w:t>
      </w:r>
      <w:r w:rsidR="00EE1C19">
        <w:rPr>
          <w:rFonts w:ascii="Arial Nova" w:hAnsi="Arial Nova" w:cs="72"/>
          <w:b/>
          <w:bCs/>
          <w:sz w:val="24"/>
        </w:rPr>
        <w:t xml:space="preserve"> (FUNDAMENTOS DE LA FUNCIÓN JURISDICCIONAL)</w:t>
      </w:r>
    </w:p>
    <w:p w14:paraId="7E218BE9" w14:textId="25459567" w:rsidR="00387E63" w:rsidRDefault="00387E63" w:rsidP="008E27B8">
      <w:pPr>
        <w:spacing w:line="276" w:lineRule="auto"/>
        <w:jc w:val="both"/>
        <w:rPr>
          <w:rFonts w:ascii="Arial Nova" w:hAnsi="Arial Nova" w:cs="72"/>
          <w:sz w:val="24"/>
        </w:rPr>
      </w:pPr>
      <w:r w:rsidRPr="008E27B8">
        <w:rPr>
          <w:rFonts w:ascii="Arial Nova" w:hAnsi="Arial Nova" w:cs="72"/>
          <w:sz w:val="24"/>
        </w:rPr>
        <w:t>Por su parte, resulta altamente inconveniente en el art. 154 del Anteproyecto</w:t>
      </w:r>
      <w:r w:rsidR="008E27B8">
        <w:rPr>
          <w:rFonts w:ascii="Arial Nova" w:hAnsi="Arial Nova" w:cs="72"/>
          <w:sz w:val="24"/>
        </w:rPr>
        <w:t xml:space="preserve"> que refiere a los fundamentos de la función jurisdiccional. </w:t>
      </w:r>
    </w:p>
    <w:p w14:paraId="2E7CE53F" w14:textId="77777777" w:rsidR="00EE1C19" w:rsidRDefault="00EE1C19" w:rsidP="008E27B8">
      <w:pPr>
        <w:spacing w:line="276" w:lineRule="auto"/>
        <w:jc w:val="both"/>
        <w:rPr>
          <w:rFonts w:ascii="Arial Nova" w:hAnsi="Arial Nova" w:cs="72"/>
          <w:sz w:val="24"/>
        </w:rPr>
      </w:pPr>
    </w:p>
    <w:p w14:paraId="2D5C3A4A" w14:textId="12629DDB" w:rsidR="00EE1C19" w:rsidRPr="00EE1C19" w:rsidRDefault="00EE1C19" w:rsidP="00EE1C19">
      <w:pPr>
        <w:pStyle w:val="Prrafodelista"/>
        <w:numPr>
          <w:ilvl w:val="0"/>
          <w:numId w:val="6"/>
        </w:numPr>
        <w:spacing w:line="276" w:lineRule="auto"/>
        <w:jc w:val="both"/>
        <w:rPr>
          <w:rFonts w:ascii="Arial Nova" w:hAnsi="Arial Nova" w:cs="72"/>
          <w:sz w:val="24"/>
        </w:rPr>
      </w:pPr>
      <w:r w:rsidRPr="00EE1C19">
        <w:rPr>
          <w:rFonts w:ascii="Arial Nova" w:hAnsi="Arial Nova" w:cs="72"/>
          <w:sz w:val="24"/>
        </w:rPr>
        <w:t>El imperio no es un principio o fundamento de la jurisdicción, sino una potestad. Por ello, debiera estar regulado en la definición de jurisdicción y debiera entregarse a todos los tribunales creados por ley, sin distinción y no solo a los tribunales ordinarios y especiales que integren el Poder Judicial.</w:t>
      </w:r>
    </w:p>
    <w:p w14:paraId="347B2ED2" w14:textId="77777777" w:rsidR="00EE1C19" w:rsidRDefault="00EE1C19" w:rsidP="00EE1C19">
      <w:pPr>
        <w:spacing w:line="276" w:lineRule="auto"/>
        <w:jc w:val="both"/>
        <w:rPr>
          <w:rFonts w:ascii="Arial Nova" w:hAnsi="Arial Nova" w:cs="72"/>
          <w:sz w:val="24"/>
        </w:rPr>
      </w:pPr>
    </w:p>
    <w:p w14:paraId="4634FAEE" w14:textId="626AB4D6" w:rsidR="00EE1C19" w:rsidRDefault="00EE1C19" w:rsidP="00EE1C19">
      <w:pPr>
        <w:pStyle w:val="Prrafodelista"/>
        <w:numPr>
          <w:ilvl w:val="0"/>
          <w:numId w:val="6"/>
        </w:numPr>
        <w:spacing w:line="276" w:lineRule="auto"/>
        <w:jc w:val="both"/>
        <w:rPr>
          <w:rFonts w:ascii="Arial Nova" w:hAnsi="Arial Nova" w:cs="72"/>
          <w:sz w:val="24"/>
        </w:rPr>
      </w:pPr>
      <w:r w:rsidRPr="00EE1C19">
        <w:rPr>
          <w:rFonts w:ascii="Arial Nova" w:hAnsi="Arial Nova" w:cs="72"/>
          <w:sz w:val="24"/>
        </w:rPr>
        <w:t>La definición que entrega de imparcialidad parece excesiva y de difícil control.</w:t>
      </w:r>
    </w:p>
    <w:p w14:paraId="066CA36C" w14:textId="77777777" w:rsidR="00EE1C19" w:rsidRPr="00EE1C19" w:rsidRDefault="00EE1C19" w:rsidP="00EE1C19">
      <w:pPr>
        <w:pStyle w:val="Prrafodelista"/>
        <w:rPr>
          <w:rFonts w:ascii="Arial Nova" w:hAnsi="Arial Nova" w:cs="72"/>
          <w:sz w:val="24"/>
        </w:rPr>
      </w:pPr>
    </w:p>
    <w:p w14:paraId="04A750DE" w14:textId="77777777" w:rsidR="00EE1C19" w:rsidRPr="008E27B8" w:rsidRDefault="00EE1C19" w:rsidP="00EE1C19">
      <w:pPr>
        <w:spacing w:line="276" w:lineRule="auto"/>
        <w:jc w:val="both"/>
        <w:rPr>
          <w:rFonts w:ascii="Arial Nova" w:hAnsi="Arial Nova" w:cs="72"/>
          <w:sz w:val="24"/>
        </w:rPr>
      </w:pPr>
      <w:r w:rsidRPr="008E27B8">
        <w:rPr>
          <w:rFonts w:ascii="Arial Nova" w:hAnsi="Arial Nova" w:cs="72"/>
          <w:sz w:val="24"/>
        </w:rPr>
        <w:t>En la letra b), cuando al regular la garantía de la imparcialidad señala: “Los jueces ejercerán sus funciones con ecuanimidad, resolviendo los asuntos que conocen sin sesgos, prejuicios ni discriminación alguna respecto de los intervinientes”</w:t>
      </w:r>
      <w:r>
        <w:rPr>
          <w:rFonts w:ascii="Arial Nova" w:hAnsi="Arial Nova" w:cs="72"/>
          <w:sz w:val="24"/>
        </w:rPr>
        <w:t>, redacción bastante cuestionable ya que l</w:t>
      </w:r>
      <w:r w:rsidRPr="008E27B8">
        <w:rPr>
          <w:rFonts w:ascii="Arial Nova" w:hAnsi="Arial Nova" w:cs="72"/>
          <w:sz w:val="24"/>
        </w:rPr>
        <w:t>a expresión ecuanimidad podría introducir una causal de impugnación subjetiva</w:t>
      </w:r>
      <w:r>
        <w:rPr>
          <w:rFonts w:ascii="Arial Nova" w:hAnsi="Arial Nova" w:cs="72"/>
          <w:sz w:val="24"/>
        </w:rPr>
        <w:t xml:space="preserve"> que </w:t>
      </w:r>
      <w:r w:rsidRPr="008E27B8">
        <w:rPr>
          <w:rFonts w:ascii="Arial Nova" w:hAnsi="Arial Nova" w:cs="72"/>
          <w:sz w:val="24"/>
        </w:rPr>
        <w:t>podría llevar a un control psicológico de la actividad judicial, para sostener que tal o cual resolución ha sido dictada por un juez en un estado de falta de ecuanimidad.</w:t>
      </w:r>
    </w:p>
    <w:p w14:paraId="21D60B0C" w14:textId="77777777" w:rsidR="00EE1C19" w:rsidRPr="008E27B8" w:rsidRDefault="00EE1C19" w:rsidP="00EE1C19">
      <w:pPr>
        <w:spacing w:line="276" w:lineRule="auto"/>
        <w:jc w:val="both"/>
        <w:rPr>
          <w:rFonts w:ascii="Arial Nova" w:hAnsi="Arial Nova" w:cs="72"/>
          <w:sz w:val="24"/>
        </w:rPr>
      </w:pPr>
      <w:r>
        <w:rPr>
          <w:rFonts w:ascii="Arial Nova" w:hAnsi="Arial Nova" w:cs="72"/>
          <w:sz w:val="24"/>
        </w:rPr>
        <w:t>Lo que sí debe garantizarse es la independencia y el actuar</w:t>
      </w:r>
      <w:r w:rsidRPr="008E27B8">
        <w:rPr>
          <w:rFonts w:ascii="Arial Nova" w:hAnsi="Arial Nova" w:cs="72"/>
          <w:sz w:val="24"/>
        </w:rPr>
        <w:t xml:space="preserve"> de un juez imparcial</w:t>
      </w:r>
      <w:r>
        <w:rPr>
          <w:rFonts w:ascii="Arial Nova" w:hAnsi="Arial Nova" w:cs="72"/>
          <w:sz w:val="24"/>
        </w:rPr>
        <w:t xml:space="preserve">, vinculado a causas </w:t>
      </w:r>
      <w:r w:rsidRPr="008E27B8">
        <w:rPr>
          <w:rFonts w:ascii="Arial Nova" w:hAnsi="Arial Nova" w:cs="72"/>
          <w:sz w:val="24"/>
        </w:rPr>
        <w:t xml:space="preserve">legales de implicancia o recusación. </w:t>
      </w:r>
    </w:p>
    <w:p w14:paraId="24B67329" w14:textId="77777777" w:rsidR="00EE1C19" w:rsidRPr="00EE1C19" w:rsidRDefault="00EE1C19" w:rsidP="00EE1C19">
      <w:pPr>
        <w:pStyle w:val="Prrafodelista"/>
        <w:spacing w:line="276" w:lineRule="auto"/>
        <w:jc w:val="both"/>
        <w:rPr>
          <w:rFonts w:ascii="Arial Nova" w:hAnsi="Arial Nova" w:cs="72"/>
          <w:sz w:val="24"/>
        </w:rPr>
      </w:pPr>
    </w:p>
    <w:p w14:paraId="39E9C642" w14:textId="77777777" w:rsidR="00EE1C19" w:rsidRDefault="00EE1C19" w:rsidP="008E27B8">
      <w:pPr>
        <w:pStyle w:val="Prrafodelista"/>
        <w:numPr>
          <w:ilvl w:val="0"/>
          <w:numId w:val="6"/>
        </w:numPr>
        <w:spacing w:line="276" w:lineRule="auto"/>
        <w:jc w:val="both"/>
        <w:rPr>
          <w:rFonts w:ascii="Arial Nova" w:hAnsi="Arial Nova" w:cs="72"/>
          <w:sz w:val="24"/>
        </w:rPr>
      </w:pPr>
      <w:r w:rsidRPr="00EE1C19">
        <w:rPr>
          <w:rFonts w:ascii="Arial Nova" w:hAnsi="Arial Nova" w:cs="72"/>
          <w:sz w:val="24"/>
        </w:rPr>
        <w:t>La definición de responsabilidad repite el mismo problema existente en la actualidad con relación a la exclusión de responsabilidad de los miembros de la Corte Suprema regulada en el art. 324 del Código Orgánico de Tribunales.</w:t>
      </w:r>
    </w:p>
    <w:p w14:paraId="18EFE85D" w14:textId="77777777" w:rsidR="00EE1C19" w:rsidRDefault="00EE1C19" w:rsidP="00EE1C19">
      <w:pPr>
        <w:pStyle w:val="Prrafodelista"/>
        <w:spacing w:line="276" w:lineRule="auto"/>
        <w:jc w:val="both"/>
        <w:rPr>
          <w:rFonts w:ascii="Arial Nova" w:hAnsi="Arial Nova" w:cs="72"/>
          <w:sz w:val="24"/>
        </w:rPr>
      </w:pPr>
    </w:p>
    <w:p w14:paraId="7A4A1A88" w14:textId="586795EF" w:rsidR="00387E63" w:rsidRPr="00632684" w:rsidRDefault="00316173" w:rsidP="008E27B8">
      <w:pPr>
        <w:pStyle w:val="Prrafodelista"/>
        <w:numPr>
          <w:ilvl w:val="0"/>
          <w:numId w:val="6"/>
        </w:numPr>
        <w:spacing w:line="276" w:lineRule="auto"/>
        <w:jc w:val="both"/>
        <w:rPr>
          <w:rFonts w:ascii="Arial Nova" w:hAnsi="Arial Nova" w:cs="72"/>
          <w:sz w:val="24"/>
        </w:rPr>
      </w:pPr>
      <w:r w:rsidRPr="00632684">
        <w:rPr>
          <w:rFonts w:ascii="Arial Nova" w:hAnsi="Arial Nova" w:cs="72"/>
          <w:sz w:val="24"/>
        </w:rPr>
        <w:t>Insuficiencia de la regulación de la inexcusabilidad</w:t>
      </w:r>
      <w:r w:rsidR="00387E63" w:rsidRPr="00632684">
        <w:rPr>
          <w:rFonts w:ascii="Arial Nova" w:hAnsi="Arial Nova" w:cs="72"/>
          <w:sz w:val="24"/>
        </w:rPr>
        <w:t xml:space="preserve"> </w:t>
      </w:r>
    </w:p>
    <w:p w14:paraId="07E8C886" w14:textId="7DCCA525" w:rsidR="00387E63" w:rsidRPr="008E27B8" w:rsidRDefault="00387E63" w:rsidP="008E27B8">
      <w:pPr>
        <w:spacing w:line="276" w:lineRule="auto"/>
        <w:jc w:val="both"/>
        <w:rPr>
          <w:rFonts w:ascii="Arial Nova" w:hAnsi="Arial Nova" w:cs="72"/>
          <w:sz w:val="24"/>
        </w:rPr>
      </w:pPr>
      <w:r w:rsidRPr="008E27B8">
        <w:rPr>
          <w:rFonts w:ascii="Arial Nova" w:hAnsi="Arial Nova" w:cs="72"/>
          <w:sz w:val="24"/>
        </w:rPr>
        <w:lastRenderedPageBreak/>
        <w:t xml:space="preserve">En la letra c), al regular la inexcusabilidad se introduce una frase después de describir esta regla de funcionamiento de la función jurisdiccional </w:t>
      </w:r>
      <w:r w:rsidR="00F4499F">
        <w:rPr>
          <w:rFonts w:ascii="Arial Nova" w:hAnsi="Arial Nova" w:cs="72"/>
          <w:sz w:val="24"/>
        </w:rPr>
        <w:t xml:space="preserve">cuando </w:t>
      </w:r>
      <w:r w:rsidRPr="008E27B8">
        <w:rPr>
          <w:rFonts w:ascii="Arial Nova" w:hAnsi="Arial Nova" w:cs="72"/>
          <w:sz w:val="24"/>
        </w:rPr>
        <w:t>agrega “salvo que su conocimiento se encuentre pendiente en otro tribunal”.</w:t>
      </w:r>
    </w:p>
    <w:p w14:paraId="08616C90" w14:textId="77777777" w:rsidR="00387E63" w:rsidRPr="008E27B8" w:rsidRDefault="00387E63" w:rsidP="008E27B8">
      <w:pPr>
        <w:spacing w:line="276" w:lineRule="auto"/>
        <w:jc w:val="both"/>
        <w:rPr>
          <w:rFonts w:ascii="Arial Nova" w:hAnsi="Arial Nova" w:cs="72"/>
          <w:sz w:val="24"/>
        </w:rPr>
      </w:pPr>
      <w:r w:rsidRPr="008E27B8">
        <w:rPr>
          <w:rFonts w:ascii="Arial Nova" w:hAnsi="Arial Nova" w:cs="72"/>
          <w:sz w:val="24"/>
        </w:rPr>
        <w:t>Esa frase puede llevar a que los jueces se inhabiliten de fallar el fondo del asunto, invocando que el tema está siendo conocido por otros.</w:t>
      </w:r>
    </w:p>
    <w:p w14:paraId="1C8E866A" w14:textId="77777777" w:rsidR="00387E63" w:rsidRDefault="00387E63" w:rsidP="008E27B8">
      <w:pPr>
        <w:spacing w:line="276" w:lineRule="auto"/>
        <w:jc w:val="both"/>
        <w:rPr>
          <w:rFonts w:ascii="Arial Nova" w:hAnsi="Arial Nova" w:cs="72"/>
          <w:sz w:val="24"/>
        </w:rPr>
      </w:pPr>
      <w:r w:rsidRPr="008E27B8">
        <w:rPr>
          <w:rFonts w:ascii="Arial Nova" w:hAnsi="Arial Nova" w:cs="72"/>
          <w:sz w:val="24"/>
        </w:rPr>
        <w:t>La propuesta es altamente inconveniente porque en la práctica existe la posibilidad que unos mismos hechos configuren dos acciones distintas se explica por la existencia del concurso de acciones, que es una de las posibles relaciones que surgen entre las acciones. El concurso de acciones se da cuando una misma situación de hecho puede estar amparada por una diversidad de acciones, que concurren a satisfacer un mismo o distinto interés del actor. Con el precepto indicado, podría un juez no resolver el asunto que se le plantea, invocando que lo está conociendo otro juez y así termine sin ser resuelto por ninguno.</w:t>
      </w:r>
    </w:p>
    <w:p w14:paraId="0644C3EA" w14:textId="77777777" w:rsidR="00EE1C19" w:rsidRDefault="00EE1C19" w:rsidP="00EE1C19">
      <w:pPr>
        <w:spacing w:line="276" w:lineRule="auto"/>
        <w:jc w:val="both"/>
        <w:rPr>
          <w:rFonts w:ascii="Arial Nova" w:hAnsi="Arial Nova" w:cs="72"/>
          <w:sz w:val="24"/>
        </w:rPr>
      </w:pPr>
    </w:p>
    <w:p w14:paraId="6A44F092" w14:textId="31E18525" w:rsidR="001F72B1" w:rsidRPr="001F72B1" w:rsidRDefault="001F72B1" w:rsidP="008E27B8">
      <w:pPr>
        <w:spacing w:line="276" w:lineRule="auto"/>
        <w:jc w:val="both"/>
        <w:rPr>
          <w:rFonts w:ascii="Arial Nova" w:hAnsi="Arial Nova" w:cs="72"/>
          <w:b/>
          <w:bCs/>
          <w:sz w:val="24"/>
        </w:rPr>
      </w:pPr>
      <w:r w:rsidRPr="001F72B1">
        <w:rPr>
          <w:rFonts w:ascii="Arial Nova" w:hAnsi="Arial Nova" w:cs="72"/>
          <w:b/>
          <w:bCs/>
          <w:sz w:val="24"/>
        </w:rPr>
        <w:t>Propuesta de 154</w:t>
      </w:r>
      <w:r w:rsidR="00EE1C19" w:rsidRPr="00EE1C19">
        <w:rPr>
          <w:rFonts w:ascii="Helvetica Neue" w:eastAsia="Helvetica Neue" w:hAnsi="Helvetica Neue" w:cs="Helvetica Neue"/>
          <w:color w:val="000000" w:themeColor="text1"/>
          <w:sz w:val="68"/>
          <w:szCs w:val="68"/>
          <w:lang w:val="es-ES"/>
        </w:rPr>
        <w:t xml:space="preserve"> </w:t>
      </w:r>
      <w:r w:rsidR="00EE1C19" w:rsidRPr="00EE1C19">
        <w:rPr>
          <w:rFonts w:ascii="Arial Nova" w:hAnsi="Arial Nova" w:cs="72"/>
          <w:b/>
          <w:bCs/>
          <w:sz w:val="24"/>
          <w:lang w:val="es-ES"/>
        </w:rPr>
        <w:t>“</w:t>
      </w:r>
      <w:r w:rsidR="00EE1C19" w:rsidRPr="00EE1C19">
        <w:rPr>
          <w:rFonts w:ascii="Arial Nova" w:hAnsi="Arial Nova" w:cs="72"/>
          <w:b/>
          <w:bCs/>
          <w:i/>
          <w:iCs/>
          <w:sz w:val="24"/>
          <w:lang w:val="es-ES"/>
        </w:rPr>
        <w:t xml:space="preserve">Los jueces ejercerán sus funciones con estricta </w:t>
      </w:r>
      <w:r w:rsidR="00632684" w:rsidRPr="00EE1C19">
        <w:rPr>
          <w:rFonts w:ascii="Arial Nova" w:hAnsi="Arial Nova" w:cs="72"/>
          <w:b/>
          <w:bCs/>
          <w:i/>
          <w:iCs/>
          <w:sz w:val="24"/>
          <w:lang w:val="es-ES"/>
        </w:rPr>
        <w:t>sujeción a</w:t>
      </w:r>
      <w:r w:rsidR="00EE1C19" w:rsidRPr="00EE1C19">
        <w:rPr>
          <w:rFonts w:ascii="Arial Nova" w:hAnsi="Arial Nova" w:cs="72"/>
          <w:b/>
          <w:bCs/>
          <w:i/>
          <w:iCs/>
          <w:sz w:val="24"/>
          <w:lang w:val="es-ES"/>
        </w:rPr>
        <w:t xml:space="preserve"> la ley y al mérito del proceso de acuerdo con los principios de independencia, imparcialidad, inexcusabilidad, responsabilidad, inviolabilidad e inamovilidad</w:t>
      </w:r>
      <w:r w:rsidR="00EE1C19" w:rsidRPr="00EE1C19">
        <w:rPr>
          <w:rFonts w:ascii="Arial Nova" w:hAnsi="Arial Nova" w:cs="72"/>
          <w:b/>
          <w:bCs/>
          <w:sz w:val="24"/>
          <w:lang w:val="es-ES"/>
        </w:rPr>
        <w:t>”.</w:t>
      </w:r>
    </w:p>
    <w:p w14:paraId="22C74988" w14:textId="77777777" w:rsidR="00387E63" w:rsidRPr="008E27B8" w:rsidRDefault="00387E63" w:rsidP="008E27B8">
      <w:pPr>
        <w:spacing w:line="276" w:lineRule="auto"/>
        <w:jc w:val="both"/>
        <w:rPr>
          <w:rFonts w:ascii="Arial Nova" w:hAnsi="Arial Nova" w:cs="72"/>
          <w:sz w:val="24"/>
        </w:rPr>
      </w:pPr>
    </w:p>
    <w:p w14:paraId="4C266284" w14:textId="478A2EAB" w:rsidR="00D43489" w:rsidRDefault="00632684" w:rsidP="008E27B8">
      <w:pPr>
        <w:spacing w:line="276" w:lineRule="auto"/>
        <w:jc w:val="both"/>
        <w:rPr>
          <w:rFonts w:ascii="Arial Nova" w:hAnsi="Arial Nova" w:cs="72"/>
          <w:b/>
          <w:bCs/>
          <w:sz w:val="24"/>
          <w:lang w:val="es-419"/>
        </w:rPr>
      </w:pPr>
      <w:r>
        <w:rPr>
          <w:rFonts w:ascii="Arial Nova" w:hAnsi="Arial Nova" w:cs="72"/>
          <w:b/>
          <w:bCs/>
          <w:sz w:val="24"/>
          <w:lang w:val="es-419"/>
        </w:rPr>
        <w:t xml:space="preserve">3) SOBRE LA PROPUESTA DE </w:t>
      </w:r>
      <w:r w:rsidR="00D43489" w:rsidRPr="00D43489">
        <w:rPr>
          <w:rFonts w:ascii="Arial Nova" w:hAnsi="Arial Nova" w:cs="72"/>
          <w:b/>
          <w:bCs/>
          <w:sz w:val="24"/>
          <w:lang w:val="es-419"/>
        </w:rPr>
        <w:t>GOBIERNO JUDICIAL</w:t>
      </w:r>
    </w:p>
    <w:p w14:paraId="7E019D3B" w14:textId="77777777" w:rsidR="00344C48" w:rsidRPr="00D43489" w:rsidRDefault="00344C48" w:rsidP="008E27B8">
      <w:pPr>
        <w:spacing w:line="276" w:lineRule="auto"/>
        <w:jc w:val="both"/>
        <w:rPr>
          <w:rFonts w:ascii="Arial Nova" w:hAnsi="Arial Nova" w:cs="72"/>
          <w:b/>
          <w:bCs/>
          <w:sz w:val="24"/>
          <w:lang w:val="es-419"/>
        </w:rPr>
      </w:pPr>
    </w:p>
    <w:p w14:paraId="56530E71" w14:textId="77777777" w:rsidR="00EE1C19" w:rsidRDefault="00EE1C19" w:rsidP="00EE1C19">
      <w:pPr>
        <w:numPr>
          <w:ilvl w:val="0"/>
          <w:numId w:val="5"/>
        </w:numPr>
        <w:tabs>
          <w:tab w:val="clear" w:pos="720"/>
        </w:tabs>
        <w:spacing w:line="276" w:lineRule="auto"/>
        <w:ind w:left="0" w:firstLine="0"/>
        <w:jc w:val="both"/>
        <w:rPr>
          <w:rFonts w:ascii="Arial Nova" w:hAnsi="Arial Nova" w:cs="72"/>
          <w:sz w:val="24"/>
        </w:rPr>
      </w:pPr>
      <w:r w:rsidRPr="00EE1C19">
        <w:rPr>
          <w:rFonts w:ascii="Arial Nova" w:hAnsi="Arial Nova" w:cs="72"/>
          <w:sz w:val="24"/>
        </w:rPr>
        <w:t>No se entiende la necesidad de fragmentar las funciones de gobierno judicial en cuatro órganos de rango constitucional más un Consejo Coordinador de los mismos, con meras facultades consultivas, elevando a rango constitucional funciones como la administración de justicia -hoy a cargo de la Corporación Administrativa del Poder Judicial (CAPJ)-, y de formación y perfeccionamiento de los jueces, -hoy radicada en la Academia Judicial-. Estas últimas funciones debieran ser materia de regulación legal.</w:t>
      </w:r>
    </w:p>
    <w:p w14:paraId="3105B17D" w14:textId="77777777" w:rsidR="00EE1C19" w:rsidRPr="00EE1C19" w:rsidRDefault="00EE1C19" w:rsidP="00632684">
      <w:pPr>
        <w:spacing w:line="276" w:lineRule="auto"/>
        <w:jc w:val="both"/>
        <w:rPr>
          <w:rFonts w:ascii="Arial Nova" w:hAnsi="Arial Nova" w:cs="72"/>
          <w:sz w:val="24"/>
        </w:rPr>
      </w:pPr>
    </w:p>
    <w:p w14:paraId="4B5DD5D3" w14:textId="77777777" w:rsidR="00EE1C19" w:rsidRDefault="00EE1C19" w:rsidP="00EE1C19">
      <w:pPr>
        <w:numPr>
          <w:ilvl w:val="0"/>
          <w:numId w:val="5"/>
        </w:numPr>
        <w:tabs>
          <w:tab w:val="clear" w:pos="720"/>
        </w:tabs>
        <w:spacing w:line="276" w:lineRule="auto"/>
        <w:ind w:left="0" w:firstLine="0"/>
        <w:jc w:val="both"/>
        <w:rPr>
          <w:rFonts w:ascii="Arial Nova" w:hAnsi="Arial Nova" w:cs="72"/>
          <w:sz w:val="24"/>
        </w:rPr>
      </w:pPr>
      <w:r w:rsidRPr="00EE1C19">
        <w:rPr>
          <w:rFonts w:ascii="Arial Nova" w:hAnsi="Arial Nova" w:cs="72"/>
          <w:sz w:val="24"/>
        </w:rPr>
        <w:t>Falta una precisión de lo que significa que los cuatro órganos de gobierno del Poder Judicial sean autónomos. Se debe cuidar que esa autonomía no implique impedir el control de legalidad de sus actos, rendición de cuentas y probidad.</w:t>
      </w:r>
    </w:p>
    <w:p w14:paraId="58B01FC4" w14:textId="77777777" w:rsidR="00632684" w:rsidRDefault="00632684" w:rsidP="00632684">
      <w:pPr>
        <w:pStyle w:val="Prrafodelista"/>
        <w:rPr>
          <w:rFonts w:ascii="Arial Nova" w:hAnsi="Arial Nova" w:cs="72"/>
          <w:sz w:val="24"/>
        </w:rPr>
      </w:pPr>
    </w:p>
    <w:p w14:paraId="69E0D225" w14:textId="77777777" w:rsidR="00EE1C19" w:rsidRDefault="00EE1C19" w:rsidP="00EE1C19">
      <w:pPr>
        <w:numPr>
          <w:ilvl w:val="0"/>
          <w:numId w:val="5"/>
        </w:numPr>
        <w:tabs>
          <w:tab w:val="clear" w:pos="720"/>
        </w:tabs>
        <w:spacing w:line="276" w:lineRule="auto"/>
        <w:ind w:left="0" w:firstLine="0"/>
        <w:jc w:val="both"/>
        <w:rPr>
          <w:rFonts w:ascii="Arial Nova" w:hAnsi="Arial Nova" w:cs="72"/>
          <w:sz w:val="24"/>
        </w:rPr>
      </w:pPr>
      <w:r w:rsidRPr="00EE1C19">
        <w:rPr>
          <w:rFonts w:ascii="Arial Nova" w:hAnsi="Arial Nova" w:cs="72"/>
          <w:sz w:val="24"/>
        </w:rPr>
        <w:t>No se ve una claridad de las funciones que tendría el Consejo Coordinador del Poder Judicial ni la utilidad de un órgano de este tipo. Puede ser fuente de conflictos futuros entre los otros cuatro órganos autónomos y el poder político.</w:t>
      </w:r>
    </w:p>
    <w:p w14:paraId="0762AB0B" w14:textId="77777777" w:rsidR="00EE1C19" w:rsidRPr="00EE1C19" w:rsidRDefault="00EE1C19" w:rsidP="00632684">
      <w:pPr>
        <w:spacing w:line="276" w:lineRule="auto"/>
        <w:jc w:val="both"/>
        <w:rPr>
          <w:rFonts w:ascii="Arial Nova" w:hAnsi="Arial Nova" w:cs="72"/>
          <w:sz w:val="24"/>
        </w:rPr>
      </w:pPr>
    </w:p>
    <w:p w14:paraId="7DB53446" w14:textId="77777777" w:rsidR="00632684" w:rsidRDefault="00EE1C19" w:rsidP="00632684">
      <w:pPr>
        <w:numPr>
          <w:ilvl w:val="0"/>
          <w:numId w:val="5"/>
        </w:numPr>
        <w:tabs>
          <w:tab w:val="clear" w:pos="720"/>
        </w:tabs>
        <w:spacing w:line="276" w:lineRule="auto"/>
        <w:ind w:left="0" w:firstLine="0"/>
        <w:jc w:val="both"/>
        <w:rPr>
          <w:rFonts w:ascii="Arial Nova" w:hAnsi="Arial Nova" w:cs="72"/>
          <w:sz w:val="24"/>
        </w:rPr>
      </w:pPr>
      <w:r w:rsidRPr="00EE1C19">
        <w:rPr>
          <w:rFonts w:ascii="Arial Nova" w:hAnsi="Arial Nova" w:cs="72"/>
          <w:sz w:val="24"/>
        </w:rPr>
        <w:lastRenderedPageBreak/>
        <w:t>Si bien el sistema de nombramiento de los jueces se mejora, preocupa la intervención de órganos o autoridades cuya vinculación política o económica pueda interferir con la independencia de los jueces.</w:t>
      </w:r>
    </w:p>
    <w:p w14:paraId="2BA35F89" w14:textId="77777777" w:rsidR="00632684" w:rsidRDefault="00632684" w:rsidP="00632684">
      <w:pPr>
        <w:pStyle w:val="Prrafodelista"/>
        <w:rPr>
          <w:rFonts w:ascii="Arial Nova" w:hAnsi="Arial Nova" w:cs="72"/>
          <w:sz w:val="24"/>
          <w:lang w:val="es-419"/>
        </w:rPr>
      </w:pPr>
    </w:p>
    <w:p w14:paraId="306C9B1B" w14:textId="1EF9DDA4" w:rsidR="008E27B8" w:rsidRPr="008E27B8" w:rsidRDefault="00387E63" w:rsidP="00344C48">
      <w:pPr>
        <w:numPr>
          <w:ilvl w:val="0"/>
          <w:numId w:val="5"/>
        </w:numPr>
        <w:tabs>
          <w:tab w:val="clear" w:pos="720"/>
        </w:tabs>
        <w:spacing w:line="276" w:lineRule="auto"/>
        <w:ind w:left="0" w:firstLine="0"/>
        <w:jc w:val="both"/>
        <w:rPr>
          <w:rFonts w:ascii="Arial Nova" w:hAnsi="Arial Nova" w:cs="72"/>
          <w:sz w:val="24"/>
          <w:lang w:val="es-ES"/>
        </w:rPr>
      </w:pPr>
      <w:r w:rsidRPr="00632684">
        <w:rPr>
          <w:rFonts w:ascii="Arial Nova" w:hAnsi="Arial Nova" w:cs="72"/>
          <w:sz w:val="24"/>
          <w:lang w:val="es-419"/>
        </w:rPr>
        <w:t>Se sigue considerando a los Fiscales Judiciales adscritos a la Corte Suprema o a las Cortes de Apelaciones. Se los debe independizar de las Cortes.</w:t>
      </w:r>
    </w:p>
    <w:sectPr w:rsidR="008E27B8" w:rsidRPr="008E27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44BC" w14:textId="77777777" w:rsidR="00D22CCF" w:rsidRDefault="00D22CCF" w:rsidP="00173240">
      <w:r>
        <w:separator/>
      </w:r>
    </w:p>
  </w:endnote>
  <w:endnote w:type="continuationSeparator" w:id="0">
    <w:p w14:paraId="57F1DF7C" w14:textId="77777777" w:rsidR="00D22CCF" w:rsidRDefault="00D22CCF" w:rsidP="0017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2000028F" w:usb1="00000002" w:usb2="00000000" w:usb3="00000000" w:csb0="0000019F" w:csb1="00000000"/>
  </w:font>
  <w:font w:name="72">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6C9C" w14:textId="77777777" w:rsidR="00D22CCF" w:rsidRDefault="00D22CCF" w:rsidP="00173240">
      <w:r>
        <w:separator/>
      </w:r>
    </w:p>
  </w:footnote>
  <w:footnote w:type="continuationSeparator" w:id="0">
    <w:p w14:paraId="728626C9" w14:textId="77777777" w:rsidR="00D22CCF" w:rsidRDefault="00D22CCF" w:rsidP="00173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1EB"/>
    <w:multiLevelType w:val="hybridMultilevel"/>
    <w:tmpl w:val="C0EE025E"/>
    <w:lvl w:ilvl="0" w:tplc="2490F700">
      <w:start w:val="1"/>
      <w:numFmt w:val="bullet"/>
      <w:lvlText w:val="•"/>
      <w:lvlJc w:val="left"/>
      <w:pPr>
        <w:tabs>
          <w:tab w:val="num" w:pos="720"/>
        </w:tabs>
        <w:ind w:left="720" w:hanging="360"/>
      </w:pPr>
      <w:rPr>
        <w:rFonts w:ascii="Helvetica Neue" w:hAnsi="Helvetica Neue" w:hint="default"/>
      </w:rPr>
    </w:lvl>
    <w:lvl w:ilvl="1" w:tplc="602C13E2">
      <w:start w:val="1"/>
      <w:numFmt w:val="bullet"/>
      <w:lvlText w:val="•"/>
      <w:lvlJc w:val="left"/>
      <w:pPr>
        <w:tabs>
          <w:tab w:val="num" w:pos="1440"/>
        </w:tabs>
        <w:ind w:left="1440" w:hanging="360"/>
      </w:pPr>
      <w:rPr>
        <w:rFonts w:ascii="Helvetica Neue" w:hAnsi="Helvetica Neue" w:hint="default"/>
      </w:rPr>
    </w:lvl>
    <w:lvl w:ilvl="2" w:tplc="07826BAA" w:tentative="1">
      <w:start w:val="1"/>
      <w:numFmt w:val="bullet"/>
      <w:lvlText w:val="•"/>
      <w:lvlJc w:val="left"/>
      <w:pPr>
        <w:tabs>
          <w:tab w:val="num" w:pos="2160"/>
        </w:tabs>
        <w:ind w:left="2160" w:hanging="360"/>
      </w:pPr>
      <w:rPr>
        <w:rFonts w:ascii="Helvetica Neue" w:hAnsi="Helvetica Neue" w:hint="default"/>
      </w:rPr>
    </w:lvl>
    <w:lvl w:ilvl="3" w:tplc="C6E265B2" w:tentative="1">
      <w:start w:val="1"/>
      <w:numFmt w:val="bullet"/>
      <w:lvlText w:val="•"/>
      <w:lvlJc w:val="left"/>
      <w:pPr>
        <w:tabs>
          <w:tab w:val="num" w:pos="2880"/>
        </w:tabs>
        <w:ind w:left="2880" w:hanging="360"/>
      </w:pPr>
      <w:rPr>
        <w:rFonts w:ascii="Helvetica Neue" w:hAnsi="Helvetica Neue" w:hint="default"/>
      </w:rPr>
    </w:lvl>
    <w:lvl w:ilvl="4" w:tplc="C4A6BA9E" w:tentative="1">
      <w:start w:val="1"/>
      <w:numFmt w:val="bullet"/>
      <w:lvlText w:val="•"/>
      <w:lvlJc w:val="left"/>
      <w:pPr>
        <w:tabs>
          <w:tab w:val="num" w:pos="3600"/>
        </w:tabs>
        <w:ind w:left="3600" w:hanging="360"/>
      </w:pPr>
      <w:rPr>
        <w:rFonts w:ascii="Helvetica Neue" w:hAnsi="Helvetica Neue" w:hint="default"/>
      </w:rPr>
    </w:lvl>
    <w:lvl w:ilvl="5" w:tplc="F4E81374" w:tentative="1">
      <w:start w:val="1"/>
      <w:numFmt w:val="bullet"/>
      <w:lvlText w:val="•"/>
      <w:lvlJc w:val="left"/>
      <w:pPr>
        <w:tabs>
          <w:tab w:val="num" w:pos="4320"/>
        </w:tabs>
        <w:ind w:left="4320" w:hanging="360"/>
      </w:pPr>
      <w:rPr>
        <w:rFonts w:ascii="Helvetica Neue" w:hAnsi="Helvetica Neue" w:hint="default"/>
      </w:rPr>
    </w:lvl>
    <w:lvl w:ilvl="6" w:tplc="97FE6F5A" w:tentative="1">
      <w:start w:val="1"/>
      <w:numFmt w:val="bullet"/>
      <w:lvlText w:val="•"/>
      <w:lvlJc w:val="left"/>
      <w:pPr>
        <w:tabs>
          <w:tab w:val="num" w:pos="5040"/>
        </w:tabs>
        <w:ind w:left="5040" w:hanging="360"/>
      </w:pPr>
      <w:rPr>
        <w:rFonts w:ascii="Helvetica Neue" w:hAnsi="Helvetica Neue" w:hint="default"/>
      </w:rPr>
    </w:lvl>
    <w:lvl w:ilvl="7" w:tplc="719E48F6" w:tentative="1">
      <w:start w:val="1"/>
      <w:numFmt w:val="bullet"/>
      <w:lvlText w:val="•"/>
      <w:lvlJc w:val="left"/>
      <w:pPr>
        <w:tabs>
          <w:tab w:val="num" w:pos="5760"/>
        </w:tabs>
        <w:ind w:left="5760" w:hanging="360"/>
      </w:pPr>
      <w:rPr>
        <w:rFonts w:ascii="Helvetica Neue" w:hAnsi="Helvetica Neue" w:hint="default"/>
      </w:rPr>
    </w:lvl>
    <w:lvl w:ilvl="8" w:tplc="5B08DE40" w:tentative="1">
      <w:start w:val="1"/>
      <w:numFmt w:val="bullet"/>
      <w:lvlText w:val="•"/>
      <w:lvlJc w:val="left"/>
      <w:pPr>
        <w:tabs>
          <w:tab w:val="num" w:pos="6480"/>
        </w:tabs>
        <w:ind w:left="6480" w:hanging="360"/>
      </w:pPr>
      <w:rPr>
        <w:rFonts w:ascii="Helvetica Neue" w:hAnsi="Helvetica Neue" w:hint="default"/>
      </w:rPr>
    </w:lvl>
  </w:abstractNum>
  <w:abstractNum w:abstractNumId="1" w15:restartNumberingAfterBreak="0">
    <w:nsid w:val="20970A28"/>
    <w:multiLevelType w:val="multilevel"/>
    <w:tmpl w:val="89D4229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1446525"/>
    <w:multiLevelType w:val="multilevel"/>
    <w:tmpl w:val="1E7CEC1E"/>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7994427"/>
    <w:multiLevelType w:val="hybridMultilevel"/>
    <w:tmpl w:val="87AA275E"/>
    <w:lvl w:ilvl="0" w:tplc="BAD89920">
      <w:start w:val="1"/>
      <w:numFmt w:val="bullet"/>
      <w:lvlText w:val="•"/>
      <w:lvlJc w:val="left"/>
      <w:pPr>
        <w:tabs>
          <w:tab w:val="num" w:pos="720"/>
        </w:tabs>
        <w:ind w:left="720" w:hanging="360"/>
      </w:pPr>
      <w:rPr>
        <w:rFonts w:ascii="Helvetica Neue" w:hAnsi="Helvetica Neue" w:hint="default"/>
      </w:rPr>
    </w:lvl>
    <w:lvl w:ilvl="1" w:tplc="EB104382" w:tentative="1">
      <w:start w:val="1"/>
      <w:numFmt w:val="bullet"/>
      <w:lvlText w:val="•"/>
      <w:lvlJc w:val="left"/>
      <w:pPr>
        <w:tabs>
          <w:tab w:val="num" w:pos="1440"/>
        </w:tabs>
        <w:ind w:left="1440" w:hanging="360"/>
      </w:pPr>
      <w:rPr>
        <w:rFonts w:ascii="Helvetica Neue" w:hAnsi="Helvetica Neue" w:hint="default"/>
      </w:rPr>
    </w:lvl>
    <w:lvl w:ilvl="2" w:tplc="53EACB42" w:tentative="1">
      <w:start w:val="1"/>
      <w:numFmt w:val="bullet"/>
      <w:lvlText w:val="•"/>
      <w:lvlJc w:val="left"/>
      <w:pPr>
        <w:tabs>
          <w:tab w:val="num" w:pos="2160"/>
        </w:tabs>
        <w:ind w:left="2160" w:hanging="360"/>
      </w:pPr>
      <w:rPr>
        <w:rFonts w:ascii="Helvetica Neue" w:hAnsi="Helvetica Neue" w:hint="default"/>
      </w:rPr>
    </w:lvl>
    <w:lvl w:ilvl="3" w:tplc="39F269D2" w:tentative="1">
      <w:start w:val="1"/>
      <w:numFmt w:val="bullet"/>
      <w:lvlText w:val="•"/>
      <w:lvlJc w:val="left"/>
      <w:pPr>
        <w:tabs>
          <w:tab w:val="num" w:pos="2880"/>
        </w:tabs>
        <w:ind w:left="2880" w:hanging="360"/>
      </w:pPr>
      <w:rPr>
        <w:rFonts w:ascii="Helvetica Neue" w:hAnsi="Helvetica Neue" w:hint="default"/>
      </w:rPr>
    </w:lvl>
    <w:lvl w:ilvl="4" w:tplc="2D744916" w:tentative="1">
      <w:start w:val="1"/>
      <w:numFmt w:val="bullet"/>
      <w:lvlText w:val="•"/>
      <w:lvlJc w:val="left"/>
      <w:pPr>
        <w:tabs>
          <w:tab w:val="num" w:pos="3600"/>
        </w:tabs>
        <w:ind w:left="3600" w:hanging="360"/>
      </w:pPr>
      <w:rPr>
        <w:rFonts w:ascii="Helvetica Neue" w:hAnsi="Helvetica Neue" w:hint="default"/>
      </w:rPr>
    </w:lvl>
    <w:lvl w:ilvl="5" w:tplc="361AD38C" w:tentative="1">
      <w:start w:val="1"/>
      <w:numFmt w:val="bullet"/>
      <w:lvlText w:val="•"/>
      <w:lvlJc w:val="left"/>
      <w:pPr>
        <w:tabs>
          <w:tab w:val="num" w:pos="4320"/>
        </w:tabs>
        <w:ind w:left="4320" w:hanging="360"/>
      </w:pPr>
      <w:rPr>
        <w:rFonts w:ascii="Helvetica Neue" w:hAnsi="Helvetica Neue" w:hint="default"/>
      </w:rPr>
    </w:lvl>
    <w:lvl w:ilvl="6" w:tplc="5B7400CE" w:tentative="1">
      <w:start w:val="1"/>
      <w:numFmt w:val="bullet"/>
      <w:lvlText w:val="•"/>
      <w:lvlJc w:val="left"/>
      <w:pPr>
        <w:tabs>
          <w:tab w:val="num" w:pos="5040"/>
        </w:tabs>
        <w:ind w:left="5040" w:hanging="360"/>
      </w:pPr>
      <w:rPr>
        <w:rFonts w:ascii="Helvetica Neue" w:hAnsi="Helvetica Neue" w:hint="default"/>
      </w:rPr>
    </w:lvl>
    <w:lvl w:ilvl="7" w:tplc="1E367E0C" w:tentative="1">
      <w:start w:val="1"/>
      <w:numFmt w:val="bullet"/>
      <w:lvlText w:val="•"/>
      <w:lvlJc w:val="left"/>
      <w:pPr>
        <w:tabs>
          <w:tab w:val="num" w:pos="5760"/>
        </w:tabs>
        <w:ind w:left="5760" w:hanging="360"/>
      </w:pPr>
      <w:rPr>
        <w:rFonts w:ascii="Helvetica Neue" w:hAnsi="Helvetica Neue" w:hint="default"/>
      </w:rPr>
    </w:lvl>
    <w:lvl w:ilvl="8" w:tplc="FCF4C552" w:tentative="1">
      <w:start w:val="1"/>
      <w:numFmt w:val="bullet"/>
      <w:lvlText w:val="•"/>
      <w:lvlJc w:val="left"/>
      <w:pPr>
        <w:tabs>
          <w:tab w:val="num" w:pos="6480"/>
        </w:tabs>
        <w:ind w:left="6480" w:hanging="360"/>
      </w:pPr>
      <w:rPr>
        <w:rFonts w:ascii="Helvetica Neue" w:hAnsi="Helvetica Neue" w:hint="default"/>
      </w:rPr>
    </w:lvl>
  </w:abstractNum>
  <w:abstractNum w:abstractNumId="4" w15:restartNumberingAfterBreak="0">
    <w:nsid w:val="796B4B53"/>
    <w:multiLevelType w:val="hybridMultilevel"/>
    <w:tmpl w:val="CA48D5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F2A3A94"/>
    <w:multiLevelType w:val="hybridMultilevel"/>
    <w:tmpl w:val="21AE72AE"/>
    <w:lvl w:ilvl="0" w:tplc="E14CDEF2">
      <w:start w:val="1"/>
      <w:numFmt w:val="bullet"/>
      <w:lvlText w:val="•"/>
      <w:lvlJc w:val="left"/>
      <w:pPr>
        <w:tabs>
          <w:tab w:val="num" w:pos="720"/>
        </w:tabs>
        <w:ind w:left="720" w:hanging="360"/>
      </w:pPr>
      <w:rPr>
        <w:rFonts w:ascii="Helvetica Neue" w:hAnsi="Helvetica Neue" w:hint="default"/>
      </w:rPr>
    </w:lvl>
    <w:lvl w:ilvl="1" w:tplc="99F8357E" w:tentative="1">
      <w:start w:val="1"/>
      <w:numFmt w:val="bullet"/>
      <w:lvlText w:val="•"/>
      <w:lvlJc w:val="left"/>
      <w:pPr>
        <w:tabs>
          <w:tab w:val="num" w:pos="1440"/>
        </w:tabs>
        <w:ind w:left="1440" w:hanging="360"/>
      </w:pPr>
      <w:rPr>
        <w:rFonts w:ascii="Helvetica Neue" w:hAnsi="Helvetica Neue" w:hint="default"/>
      </w:rPr>
    </w:lvl>
    <w:lvl w:ilvl="2" w:tplc="7604D520" w:tentative="1">
      <w:start w:val="1"/>
      <w:numFmt w:val="bullet"/>
      <w:lvlText w:val="•"/>
      <w:lvlJc w:val="left"/>
      <w:pPr>
        <w:tabs>
          <w:tab w:val="num" w:pos="2160"/>
        </w:tabs>
        <w:ind w:left="2160" w:hanging="360"/>
      </w:pPr>
      <w:rPr>
        <w:rFonts w:ascii="Helvetica Neue" w:hAnsi="Helvetica Neue" w:hint="default"/>
      </w:rPr>
    </w:lvl>
    <w:lvl w:ilvl="3" w:tplc="A6A0D7EA" w:tentative="1">
      <w:start w:val="1"/>
      <w:numFmt w:val="bullet"/>
      <w:lvlText w:val="•"/>
      <w:lvlJc w:val="left"/>
      <w:pPr>
        <w:tabs>
          <w:tab w:val="num" w:pos="2880"/>
        </w:tabs>
        <w:ind w:left="2880" w:hanging="360"/>
      </w:pPr>
      <w:rPr>
        <w:rFonts w:ascii="Helvetica Neue" w:hAnsi="Helvetica Neue" w:hint="default"/>
      </w:rPr>
    </w:lvl>
    <w:lvl w:ilvl="4" w:tplc="A2EEF270" w:tentative="1">
      <w:start w:val="1"/>
      <w:numFmt w:val="bullet"/>
      <w:lvlText w:val="•"/>
      <w:lvlJc w:val="left"/>
      <w:pPr>
        <w:tabs>
          <w:tab w:val="num" w:pos="3600"/>
        </w:tabs>
        <w:ind w:left="3600" w:hanging="360"/>
      </w:pPr>
      <w:rPr>
        <w:rFonts w:ascii="Helvetica Neue" w:hAnsi="Helvetica Neue" w:hint="default"/>
      </w:rPr>
    </w:lvl>
    <w:lvl w:ilvl="5" w:tplc="54103D28" w:tentative="1">
      <w:start w:val="1"/>
      <w:numFmt w:val="bullet"/>
      <w:lvlText w:val="•"/>
      <w:lvlJc w:val="left"/>
      <w:pPr>
        <w:tabs>
          <w:tab w:val="num" w:pos="4320"/>
        </w:tabs>
        <w:ind w:left="4320" w:hanging="360"/>
      </w:pPr>
      <w:rPr>
        <w:rFonts w:ascii="Helvetica Neue" w:hAnsi="Helvetica Neue" w:hint="default"/>
      </w:rPr>
    </w:lvl>
    <w:lvl w:ilvl="6" w:tplc="7F4C2C56" w:tentative="1">
      <w:start w:val="1"/>
      <w:numFmt w:val="bullet"/>
      <w:lvlText w:val="•"/>
      <w:lvlJc w:val="left"/>
      <w:pPr>
        <w:tabs>
          <w:tab w:val="num" w:pos="5040"/>
        </w:tabs>
        <w:ind w:left="5040" w:hanging="360"/>
      </w:pPr>
      <w:rPr>
        <w:rFonts w:ascii="Helvetica Neue" w:hAnsi="Helvetica Neue" w:hint="default"/>
      </w:rPr>
    </w:lvl>
    <w:lvl w:ilvl="7" w:tplc="35068D8A" w:tentative="1">
      <w:start w:val="1"/>
      <w:numFmt w:val="bullet"/>
      <w:lvlText w:val="•"/>
      <w:lvlJc w:val="left"/>
      <w:pPr>
        <w:tabs>
          <w:tab w:val="num" w:pos="5760"/>
        </w:tabs>
        <w:ind w:left="5760" w:hanging="360"/>
      </w:pPr>
      <w:rPr>
        <w:rFonts w:ascii="Helvetica Neue" w:hAnsi="Helvetica Neue" w:hint="default"/>
      </w:rPr>
    </w:lvl>
    <w:lvl w:ilvl="8" w:tplc="69461FD0" w:tentative="1">
      <w:start w:val="1"/>
      <w:numFmt w:val="bullet"/>
      <w:lvlText w:val="•"/>
      <w:lvlJc w:val="left"/>
      <w:pPr>
        <w:tabs>
          <w:tab w:val="num" w:pos="6480"/>
        </w:tabs>
        <w:ind w:left="6480" w:hanging="360"/>
      </w:pPr>
      <w:rPr>
        <w:rFonts w:ascii="Helvetica Neue" w:hAnsi="Helvetica Neue" w:hint="default"/>
      </w:rPr>
    </w:lvl>
  </w:abstractNum>
  <w:num w:numId="1" w16cid:durableId="476411298">
    <w:abstractNumId w:val="2"/>
  </w:num>
  <w:num w:numId="2" w16cid:durableId="404956775">
    <w:abstractNumId w:val="1"/>
  </w:num>
  <w:num w:numId="3" w16cid:durableId="225727382">
    <w:abstractNumId w:val="5"/>
  </w:num>
  <w:num w:numId="4" w16cid:durableId="283777868">
    <w:abstractNumId w:val="0"/>
  </w:num>
  <w:num w:numId="5" w16cid:durableId="2132744603">
    <w:abstractNumId w:val="3"/>
  </w:num>
  <w:num w:numId="6" w16cid:durableId="210193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40"/>
    <w:rsid w:val="001108E5"/>
    <w:rsid w:val="00173240"/>
    <w:rsid w:val="001D0127"/>
    <w:rsid w:val="001E6D98"/>
    <w:rsid w:val="001F511B"/>
    <w:rsid w:val="001F72B1"/>
    <w:rsid w:val="002A22A3"/>
    <w:rsid w:val="00316173"/>
    <w:rsid w:val="00344C48"/>
    <w:rsid w:val="00345FC9"/>
    <w:rsid w:val="00387E63"/>
    <w:rsid w:val="00632684"/>
    <w:rsid w:val="008E27B8"/>
    <w:rsid w:val="00C554BF"/>
    <w:rsid w:val="00CF3688"/>
    <w:rsid w:val="00D14E76"/>
    <w:rsid w:val="00D22CCF"/>
    <w:rsid w:val="00D43489"/>
    <w:rsid w:val="00D53494"/>
    <w:rsid w:val="00EE1C19"/>
    <w:rsid w:val="00F449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0137"/>
  <w15:chartTrackingRefBased/>
  <w15:docId w15:val="{FFAD919F-45BE-4963-8241-571D8814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40"/>
    <w:pPr>
      <w:spacing w:after="0" w:line="240" w:lineRule="auto"/>
    </w:pPr>
    <w:rPr>
      <w:rFonts w:eastAsiaTheme="minorEastAsia"/>
      <w:kern w:val="0"/>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73240"/>
    <w:rPr>
      <w:sz w:val="20"/>
      <w:szCs w:val="20"/>
    </w:rPr>
  </w:style>
  <w:style w:type="character" w:customStyle="1" w:styleId="TextonotapieCar">
    <w:name w:val="Texto nota pie Car"/>
    <w:basedOn w:val="Fuentedeprrafopredeter"/>
    <w:link w:val="Textonotapie"/>
    <w:uiPriority w:val="99"/>
    <w:semiHidden/>
    <w:rsid w:val="00173240"/>
    <w:rPr>
      <w:rFonts w:eastAsiaTheme="minorEastAsia"/>
      <w:kern w:val="0"/>
      <w:sz w:val="20"/>
      <w:szCs w:val="20"/>
      <w14:ligatures w14:val="none"/>
    </w:rPr>
  </w:style>
  <w:style w:type="character" w:styleId="Refdenotaalpie">
    <w:name w:val="footnote reference"/>
    <w:basedOn w:val="Fuentedeprrafopredeter"/>
    <w:uiPriority w:val="99"/>
    <w:semiHidden/>
    <w:unhideWhenUsed/>
    <w:rsid w:val="00173240"/>
    <w:rPr>
      <w:vertAlign w:val="superscript"/>
    </w:rPr>
  </w:style>
  <w:style w:type="paragraph" w:styleId="Prrafodelista">
    <w:name w:val="List Paragraph"/>
    <w:basedOn w:val="Normal"/>
    <w:uiPriority w:val="34"/>
    <w:qFormat/>
    <w:rsid w:val="008E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09804">
      <w:bodyDiv w:val="1"/>
      <w:marLeft w:val="0"/>
      <w:marRight w:val="0"/>
      <w:marTop w:val="0"/>
      <w:marBottom w:val="0"/>
      <w:divBdr>
        <w:top w:val="none" w:sz="0" w:space="0" w:color="auto"/>
        <w:left w:val="none" w:sz="0" w:space="0" w:color="auto"/>
        <w:bottom w:val="none" w:sz="0" w:space="0" w:color="auto"/>
        <w:right w:val="none" w:sz="0" w:space="0" w:color="auto"/>
      </w:divBdr>
      <w:divsChild>
        <w:div w:id="1729449493">
          <w:marLeft w:val="1483"/>
          <w:marRight w:val="0"/>
          <w:marTop w:val="300"/>
          <w:marBottom w:val="0"/>
          <w:divBdr>
            <w:top w:val="none" w:sz="0" w:space="0" w:color="auto"/>
            <w:left w:val="none" w:sz="0" w:space="0" w:color="auto"/>
            <w:bottom w:val="none" w:sz="0" w:space="0" w:color="auto"/>
            <w:right w:val="none" w:sz="0" w:space="0" w:color="auto"/>
          </w:divBdr>
        </w:div>
        <w:div w:id="1306201984">
          <w:marLeft w:val="1483"/>
          <w:marRight w:val="0"/>
          <w:marTop w:val="300"/>
          <w:marBottom w:val="0"/>
          <w:divBdr>
            <w:top w:val="none" w:sz="0" w:space="0" w:color="auto"/>
            <w:left w:val="none" w:sz="0" w:space="0" w:color="auto"/>
            <w:bottom w:val="none" w:sz="0" w:space="0" w:color="auto"/>
            <w:right w:val="none" w:sz="0" w:space="0" w:color="auto"/>
          </w:divBdr>
        </w:div>
        <w:div w:id="37634914">
          <w:marLeft w:val="1483"/>
          <w:marRight w:val="0"/>
          <w:marTop w:val="300"/>
          <w:marBottom w:val="0"/>
          <w:divBdr>
            <w:top w:val="none" w:sz="0" w:space="0" w:color="auto"/>
            <w:left w:val="none" w:sz="0" w:space="0" w:color="auto"/>
            <w:bottom w:val="none" w:sz="0" w:space="0" w:color="auto"/>
            <w:right w:val="none" w:sz="0" w:space="0" w:color="auto"/>
          </w:divBdr>
        </w:div>
      </w:divsChild>
    </w:div>
    <w:div w:id="811798684">
      <w:bodyDiv w:val="1"/>
      <w:marLeft w:val="0"/>
      <w:marRight w:val="0"/>
      <w:marTop w:val="0"/>
      <w:marBottom w:val="0"/>
      <w:divBdr>
        <w:top w:val="none" w:sz="0" w:space="0" w:color="auto"/>
        <w:left w:val="none" w:sz="0" w:space="0" w:color="auto"/>
        <w:bottom w:val="none" w:sz="0" w:space="0" w:color="auto"/>
        <w:right w:val="none" w:sz="0" w:space="0" w:color="auto"/>
      </w:divBdr>
      <w:divsChild>
        <w:div w:id="1858232508">
          <w:marLeft w:val="763"/>
          <w:marRight w:val="0"/>
          <w:marTop w:val="300"/>
          <w:marBottom w:val="0"/>
          <w:divBdr>
            <w:top w:val="none" w:sz="0" w:space="0" w:color="auto"/>
            <w:left w:val="none" w:sz="0" w:space="0" w:color="auto"/>
            <w:bottom w:val="none" w:sz="0" w:space="0" w:color="auto"/>
            <w:right w:val="none" w:sz="0" w:space="0" w:color="auto"/>
          </w:divBdr>
        </w:div>
        <w:div w:id="1286547226">
          <w:marLeft w:val="763"/>
          <w:marRight w:val="0"/>
          <w:marTop w:val="300"/>
          <w:marBottom w:val="0"/>
          <w:divBdr>
            <w:top w:val="none" w:sz="0" w:space="0" w:color="auto"/>
            <w:left w:val="none" w:sz="0" w:space="0" w:color="auto"/>
            <w:bottom w:val="none" w:sz="0" w:space="0" w:color="auto"/>
            <w:right w:val="none" w:sz="0" w:space="0" w:color="auto"/>
          </w:divBdr>
        </w:div>
        <w:div w:id="1241983698">
          <w:marLeft w:val="763"/>
          <w:marRight w:val="0"/>
          <w:marTop w:val="300"/>
          <w:marBottom w:val="0"/>
          <w:divBdr>
            <w:top w:val="none" w:sz="0" w:space="0" w:color="auto"/>
            <w:left w:val="none" w:sz="0" w:space="0" w:color="auto"/>
            <w:bottom w:val="none" w:sz="0" w:space="0" w:color="auto"/>
            <w:right w:val="none" w:sz="0" w:space="0" w:color="auto"/>
          </w:divBdr>
        </w:div>
        <w:div w:id="1743216594">
          <w:marLeft w:val="763"/>
          <w:marRight w:val="0"/>
          <w:marTop w:val="300"/>
          <w:marBottom w:val="0"/>
          <w:divBdr>
            <w:top w:val="none" w:sz="0" w:space="0" w:color="auto"/>
            <w:left w:val="none" w:sz="0" w:space="0" w:color="auto"/>
            <w:bottom w:val="none" w:sz="0" w:space="0" w:color="auto"/>
            <w:right w:val="none" w:sz="0" w:space="0" w:color="auto"/>
          </w:divBdr>
        </w:div>
      </w:divsChild>
    </w:div>
    <w:div w:id="817766247">
      <w:bodyDiv w:val="1"/>
      <w:marLeft w:val="0"/>
      <w:marRight w:val="0"/>
      <w:marTop w:val="0"/>
      <w:marBottom w:val="0"/>
      <w:divBdr>
        <w:top w:val="none" w:sz="0" w:space="0" w:color="auto"/>
        <w:left w:val="none" w:sz="0" w:space="0" w:color="auto"/>
        <w:bottom w:val="none" w:sz="0" w:space="0" w:color="auto"/>
        <w:right w:val="none" w:sz="0" w:space="0" w:color="auto"/>
      </w:divBdr>
      <w:divsChild>
        <w:div w:id="1537087757">
          <w:marLeft w:val="763"/>
          <w:marRight w:val="0"/>
          <w:marTop w:val="300"/>
          <w:marBottom w:val="0"/>
          <w:divBdr>
            <w:top w:val="none" w:sz="0" w:space="0" w:color="auto"/>
            <w:left w:val="none" w:sz="0" w:space="0" w:color="auto"/>
            <w:bottom w:val="none" w:sz="0" w:space="0" w:color="auto"/>
            <w:right w:val="none" w:sz="0" w:space="0" w:color="auto"/>
          </w:divBdr>
        </w:div>
        <w:div w:id="805705876">
          <w:marLeft w:val="763"/>
          <w:marRight w:val="0"/>
          <w:marTop w:val="300"/>
          <w:marBottom w:val="0"/>
          <w:divBdr>
            <w:top w:val="none" w:sz="0" w:space="0" w:color="auto"/>
            <w:left w:val="none" w:sz="0" w:space="0" w:color="auto"/>
            <w:bottom w:val="none" w:sz="0" w:space="0" w:color="auto"/>
            <w:right w:val="none" w:sz="0" w:space="0" w:color="auto"/>
          </w:divBdr>
        </w:div>
        <w:div w:id="761688227">
          <w:marLeft w:val="763"/>
          <w:marRight w:val="0"/>
          <w:marTop w:val="300"/>
          <w:marBottom w:val="0"/>
          <w:divBdr>
            <w:top w:val="none" w:sz="0" w:space="0" w:color="auto"/>
            <w:left w:val="none" w:sz="0" w:space="0" w:color="auto"/>
            <w:bottom w:val="none" w:sz="0" w:space="0" w:color="auto"/>
            <w:right w:val="none" w:sz="0" w:space="0" w:color="auto"/>
          </w:divBdr>
        </w:div>
        <w:div w:id="1455058763">
          <w:marLeft w:val="763"/>
          <w:marRight w:val="0"/>
          <w:marTop w:val="300"/>
          <w:marBottom w:val="0"/>
          <w:divBdr>
            <w:top w:val="none" w:sz="0" w:space="0" w:color="auto"/>
            <w:left w:val="none" w:sz="0" w:space="0" w:color="auto"/>
            <w:bottom w:val="none" w:sz="0" w:space="0" w:color="auto"/>
            <w:right w:val="none" w:sz="0" w:space="0" w:color="auto"/>
          </w:divBdr>
        </w:div>
      </w:divsChild>
    </w:div>
    <w:div w:id="2072537278">
      <w:bodyDiv w:val="1"/>
      <w:marLeft w:val="0"/>
      <w:marRight w:val="0"/>
      <w:marTop w:val="0"/>
      <w:marBottom w:val="0"/>
      <w:divBdr>
        <w:top w:val="none" w:sz="0" w:space="0" w:color="auto"/>
        <w:left w:val="none" w:sz="0" w:space="0" w:color="auto"/>
        <w:bottom w:val="none" w:sz="0" w:space="0" w:color="auto"/>
        <w:right w:val="none" w:sz="0" w:space="0" w:color="auto"/>
      </w:divBdr>
      <w:divsChild>
        <w:div w:id="1681270487">
          <w:marLeft w:val="763"/>
          <w:marRight w:val="0"/>
          <w:marTop w:val="300"/>
          <w:marBottom w:val="0"/>
          <w:divBdr>
            <w:top w:val="none" w:sz="0" w:space="0" w:color="auto"/>
            <w:left w:val="none" w:sz="0" w:space="0" w:color="auto"/>
            <w:bottom w:val="none" w:sz="0" w:space="0" w:color="auto"/>
            <w:right w:val="none" w:sz="0" w:space="0" w:color="auto"/>
          </w:divBdr>
        </w:div>
        <w:div w:id="901792178">
          <w:marLeft w:val="763"/>
          <w:marRight w:val="0"/>
          <w:marTop w:val="300"/>
          <w:marBottom w:val="0"/>
          <w:divBdr>
            <w:top w:val="none" w:sz="0" w:space="0" w:color="auto"/>
            <w:left w:val="none" w:sz="0" w:space="0" w:color="auto"/>
            <w:bottom w:val="none" w:sz="0" w:space="0" w:color="auto"/>
            <w:right w:val="none" w:sz="0" w:space="0" w:color="auto"/>
          </w:divBdr>
        </w:div>
        <w:div w:id="498159004">
          <w:marLeft w:val="763"/>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Arantzazu Aguirrezábal Grünstein</dc:creator>
  <cp:keywords/>
  <dc:description/>
  <cp:lastModifiedBy>Comision Funcion Jurisdiccional</cp:lastModifiedBy>
  <cp:revision>2</cp:revision>
  <dcterms:created xsi:type="dcterms:W3CDTF">2023-07-28T12:26:00Z</dcterms:created>
  <dcterms:modified xsi:type="dcterms:W3CDTF">2023-07-28T12:26:00Z</dcterms:modified>
</cp:coreProperties>
</file>