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7153" w14:textId="77777777" w:rsidR="00947A63" w:rsidRPr="00BC2647" w:rsidRDefault="00947A63" w:rsidP="001B1BC5">
      <w:pPr>
        <w:jc w:val="both"/>
        <w:rPr>
          <w:rFonts w:ascii="Garamond" w:hAnsi="Garamond"/>
          <w:b/>
          <w:bCs/>
          <w:caps/>
          <w:sz w:val="28"/>
          <w:szCs w:val="28"/>
        </w:rPr>
      </w:pPr>
    </w:p>
    <w:p w14:paraId="1720DAA5" w14:textId="77777777" w:rsidR="005E4942" w:rsidRPr="00BC2647" w:rsidRDefault="005E4942" w:rsidP="001B1BC5">
      <w:pPr>
        <w:jc w:val="both"/>
        <w:rPr>
          <w:rFonts w:ascii="Garamond" w:hAnsi="Garamond"/>
          <w:b/>
          <w:bCs/>
          <w:caps/>
          <w:sz w:val="28"/>
          <w:szCs w:val="28"/>
        </w:rPr>
      </w:pPr>
    </w:p>
    <w:p w14:paraId="18B43A1C" w14:textId="77777777" w:rsidR="005E4942" w:rsidRPr="00BC2647" w:rsidRDefault="005E4942" w:rsidP="001B1BC5">
      <w:pPr>
        <w:jc w:val="both"/>
        <w:rPr>
          <w:rFonts w:ascii="Garamond" w:hAnsi="Garamond"/>
          <w:b/>
          <w:bCs/>
          <w:caps/>
          <w:sz w:val="28"/>
          <w:szCs w:val="28"/>
        </w:rPr>
      </w:pPr>
    </w:p>
    <w:p w14:paraId="2FCAC840" w14:textId="77777777" w:rsidR="005E4942" w:rsidRPr="00BC2647" w:rsidRDefault="005E4942" w:rsidP="001B1BC5">
      <w:pPr>
        <w:jc w:val="both"/>
        <w:rPr>
          <w:rFonts w:ascii="Garamond" w:hAnsi="Garamond"/>
          <w:b/>
          <w:bCs/>
          <w:caps/>
          <w:sz w:val="28"/>
          <w:szCs w:val="28"/>
        </w:rPr>
      </w:pPr>
    </w:p>
    <w:p w14:paraId="37DFBB6E" w14:textId="77777777" w:rsidR="005E4942" w:rsidRPr="00BC2647" w:rsidRDefault="005E4942" w:rsidP="001B1BC5">
      <w:pPr>
        <w:jc w:val="both"/>
        <w:rPr>
          <w:rFonts w:ascii="Garamond" w:hAnsi="Garamond"/>
          <w:b/>
          <w:bCs/>
          <w:caps/>
          <w:sz w:val="28"/>
          <w:szCs w:val="28"/>
        </w:rPr>
      </w:pPr>
    </w:p>
    <w:p w14:paraId="2CBA55CE" w14:textId="77777777" w:rsidR="00947A63" w:rsidRPr="00BC2647" w:rsidRDefault="00947A63" w:rsidP="001B1BC5">
      <w:pPr>
        <w:jc w:val="both"/>
        <w:rPr>
          <w:rFonts w:ascii="Garamond" w:hAnsi="Garamond"/>
          <w:b/>
          <w:bCs/>
          <w:caps/>
          <w:sz w:val="28"/>
          <w:szCs w:val="28"/>
        </w:rPr>
      </w:pPr>
    </w:p>
    <w:p w14:paraId="15D8AF40" w14:textId="77777777" w:rsidR="008E57EF" w:rsidRPr="00BC2647" w:rsidRDefault="008E57EF" w:rsidP="008E57EF">
      <w:pPr>
        <w:pStyle w:val="a"/>
        <w:spacing w:before="120" w:after="120" w:line="240" w:lineRule="auto"/>
        <w:rPr>
          <w:rStyle w:val="Notaapie"/>
          <w:rFonts w:ascii="Garamond" w:hAnsi="Garamond"/>
          <w:caps/>
          <w:smallCaps w:val="0"/>
          <w:szCs w:val="28"/>
          <w:lang w:val="es-CL"/>
        </w:rPr>
      </w:pPr>
    </w:p>
    <w:p w14:paraId="01D60AAF" w14:textId="753E50A1" w:rsidR="00181943" w:rsidRPr="00BC2647" w:rsidRDefault="00BC71AF" w:rsidP="00181943">
      <w:pPr>
        <w:pStyle w:val="a"/>
        <w:spacing w:before="120" w:after="120" w:line="240" w:lineRule="auto"/>
        <w:jc w:val="both"/>
        <w:rPr>
          <w:rStyle w:val="Notaapie"/>
          <w:rFonts w:ascii="Garamond" w:hAnsi="Garamond"/>
          <w:caps/>
          <w:smallCaps w:val="0"/>
          <w:szCs w:val="28"/>
          <w:lang w:val="es-CL"/>
        </w:rPr>
      </w:pPr>
      <w:r w:rsidRPr="00BC2647">
        <w:rPr>
          <w:rStyle w:val="Notaapie"/>
          <w:rFonts w:ascii="Garamond" w:hAnsi="Garamond"/>
          <w:caps/>
          <w:smallCaps w:val="0"/>
          <w:szCs w:val="28"/>
          <w:lang w:val="es-CL"/>
        </w:rPr>
        <w:t xml:space="preserve">COMENTARIOS A LAS </w:t>
      </w:r>
      <w:r w:rsidR="008E57EF" w:rsidRPr="00BC2647">
        <w:rPr>
          <w:rStyle w:val="Notaapie"/>
          <w:rFonts w:ascii="Garamond" w:hAnsi="Garamond"/>
          <w:caps/>
          <w:smallCaps w:val="0"/>
          <w:szCs w:val="28"/>
          <w:lang w:val="es-CL"/>
        </w:rPr>
        <w:t>NORMAS DE</w:t>
      </w:r>
      <w:r w:rsidRPr="00BC2647">
        <w:rPr>
          <w:rStyle w:val="Notaapie"/>
          <w:rFonts w:ascii="Garamond" w:hAnsi="Garamond"/>
          <w:caps/>
          <w:smallCaps w:val="0"/>
          <w:szCs w:val="28"/>
          <w:lang w:val="es-CL"/>
        </w:rPr>
        <w:t>l</w:t>
      </w:r>
      <w:r w:rsidR="008E57EF" w:rsidRPr="00BC2647">
        <w:rPr>
          <w:rStyle w:val="Notaapie"/>
          <w:rFonts w:ascii="Garamond" w:hAnsi="Garamond"/>
          <w:caps/>
          <w:smallCaps w:val="0"/>
          <w:szCs w:val="28"/>
          <w:lang w:val="es-CL"/>
        </w:rPr>
        <w:t xml:space="preserve"> </w:t>
      </w:r>
      <w:r w:rsidR="00181943" w:rsidRPr="00BC2647">
        <w:rPr>
          <w:rStyle w:val="Notaapie"/>
          <w:rFonts w:ascii="Garamond" w:hAnsi="Garamond"/>
          <w:caps/>
          <w:smallCaps w:val="0"/>
          <w:szCs w:val="28"/>
          <w:lang w:val="es-CL"/>
        </w:rPr>
        <w:t>ante</w:t>
      </w:r>
      <w:r w:rsidR="008E57EF" w:rsidRPr="00BC2647">
        <w:rPr>
          <w:rStyle w:val="Notaapie"/>
          <w:rFonts w:ascii="Garamond" w:hAnsi="Garamond"/>
          <w:caps/>
          <w:smallCaps w:val="0"/>
          <w:szCs w:val="28"/>
          <w:lang w:val="es-CL"/>
        </w:rPr>
        <w:t xml:space="preserve">PROYECTO DE </w:t>
      </w:r>
      <w:r w:rsidR="00181943" w:rsidRPr="00BC2647">
        <w:rPr>
          <w:rFonts w:ascii="Garamond" w:hAnsi="Garamond"/>
          <w:caps/>
          <w:smallCaps w:val="0"/>
          <w:szCs w:val="28"/>
        </w:rPr>
        <w:t>CONSTITUCIÓN POLÍTICA DE LA REPÚBLICA DE CHILE</w:t>
      </w:r>
      <w:r w:rsidR="008E57EF" w:rsidRPr="00BC2647">
        <w:rPr>
          <w:rStyle w:val="Notaapie"/>
          <w:rFonts w:ascii="Garamond" w:hAnsi="Garamond"/>
          <w:caps/>
          <w:smallCaps w:val="0"/>
          <w:szCs w:val="28"/>
          <w:lang w:val="es-CL"/>
        </w:rPr>
        <w:t xml:space="preserve"> ELABORADO POR LA COMISIÒN DE EXPERTOS </w:t>
      </w:r>
    </w:p>
    <w:p w14:paraId="71CBA32A" w14:textId="77777777" w:rsidR="008E57EF" w:rsidRPr="00BC2647" w:rsidRDefault="008E57EF" w:rsidP="00181943">
      <w:pPr>
        <w:pStyle w:val="a"/>
        <w:spacing w:before="120" w:after="120" w:line="240" w:lineRule="auto"/>
        <w:jc w:val="both"/>
        <w:rPr>
          <w:rStyle w:val="Notaapie"/>
          <w:rFonts w:ascii="Garamond" w:hAnsi="Garamond"/>
          <w:caps/>
          <w:smallCaps w:val="0"/>
          <w:szCs w:val="28"/>
          <w:lang w:val="es-CL"/>
        </w:rPr>
      </w:pPr>
    </w:p>
    <w:p w14:paraId="2C3F6B75" w14:textId="77777777" w:rsidR="008E57EF" w:rsidRPr="00BC2647" w:rsidRDefault="008E57EF" w:rsidP="00181943">
      <w:pPr>
        <w:pStyle w:val="a"/>
        <w:spacing w:before="120" w:after="120" w:line="240" w:lineRule="auto"/>
        <w:jc w:val="both"/>
        <w:rPr>
          <w:rStyle w:val="Notaapie"/>
          <w:rFonts w:ascii="Garamond" w:hAnsi="Garamond"/>
          <w:caps/>
          <w:smallCaps w:val="0"/>
          <w:szCs w:val="28"/>
          <w:lang w:val="es-CL"/>
        </w:rPr>
      </w:pPr>
    </w:p>
    <w:p w14:paraId="180A423F" w14:textId="77777777" w:rsidR="008E57EF" w:rsidRPr="00BC2647" w:rsidRDefault="008E57EF" w:rsidP="008E57EF">
      <w:pPr>
        <w:pStyle w:val="a"/>
        <w:spacing w:before="120" w:after="120" w:line="240" w:lineRule="auto"/>
        <w:rPr>
          <w:rStyle w:val="Notaapie"/>
          <w:rFonts w:ascii="Garamond" w:hAnsi="Garamond"/>
          <w:caps/>
          <w:smallCaps w:val="0"/>
          <w:szCs w:val="28"/>
          <w:lang w:val="es-CL"/>
        </w:rPr>
      </w:pPr>
    </w:p>
    <w:p w14:paraId="5C9C1D16" w14:textId="77777777" w:rsidR="008E57EF" w:rsidRPr="00BC2647" w:rsidRDefault="008E57EF" w:rsidP="008E57EF">
      <w:pPr>
        <w:spacing w:before="120" w:after="120"/>
        <w:rPr>
          <w:rStyle w:val="Notaapie"/>
          <w:rFonts w:ascii="Garamond" w:hAnsi="Garamond"/>
          <w:sz w:val="28"/>
          <w:szCs w:val="28"/>
          <w:lang w:val="es-CL"/>
        </w:rPr>
      </w:pPr>
    </w:p>
    <w:p w14:paraId="6C14C9A7" w14:textId="77777777" w:rsidR="008E57EF" w:rsidRPr="00BC2647" w:rsidRDefault="008E57EF" w:rsidP="008E57EF">
      <w:pPr>
        <w:spacing w:before="120" w:after="120"/>
        <w:rPr>
          <w:rStyle w:val="Notaapie"/>
          <w:rFonts w:ascii="Garamond" w:hAnsi="Garamond"/>
          <w:sz w:val="28"/>
          <w:szCs w:val="28"/>
          <w:lang w:val="es-CL"/>
        </w:rPr>
      </w:pPr>
    </w:p>
    <w:p w14:paraId="748904C0" w14:textId="77777777" w:rsidR="008E57EF" w:rsidRPr="00BC2647" w:rsidRDefault="008E57EF" w:rsidP="008E57EF">
      <w:pPr>
        <w:pStyle w:val="00-Textogeneralc12"/>
        <w:spacing w:before="120" w:after="120" w:line="240" w:lineRule="auto"/>
        <w:ind w:firstLine="0"/>
        <w:rPr>
          <w:rStyle w:val="Notaapie"/>
          <w:rFonts w:ascii="Garamond" w:hAnsi="Garamond"/>
          <w:color w:val="auto"/>
          <w:sz w:val="28"/>
          <w:szCs w:val="28"/>
          <w:lang w:val="es-CL"/>
        </w:rPr>
      </w:pPr>
    </w:p>
    <w:p w14:paraId="478827F8" w14:textId="77777777" w:rsidR="008E57EF" w:rsidRPr="00BC2647" w:rsidRDefault="008E57EF" w:rsidP="008E57EF">
      <w:pPr>
        <w:pStyle w:val="00-Textogeneralc12"/>
        <w:spacing w:before="120" w:after="120" w:line="240" w:lineRule="auto"/>
        <w:ind w:firstLine="0"/>
        <w:rPr>
          <w:rStyle w:val="Notaapie"/>
          <w:rFonts w:ascii="Garamond" w:hAnsi="Garamond"/>
          <w:color w:val="auto"/>
          <w:sz w:val="28"/>
          <w:szCs w:val="28"/>
          <w:lang w:val="es-CL"/>
        </w:rPr>
      </w:pPr>
    </w:p>
    <w:p w14:paraId="4D72366D" w14:textId="77777777" w:rsidR="008E57EF" w:rsidRPr="00BC2647" w:rsidRDefault="008E57EF" w:rsidP="008E57EF">
      <w:pPr>
        <w:pStyle w:val="Sinespaciado"/>
        <w:ind w:firstLine="360"/>
        <w:jc w:val="both"/>
        <w:rPr>
          <w:rStyle w:val="normaltextrun"/>
          <w:rFonts w:ascii="Garamond" w:hAnsi="Garamond"/>
          <w:sz w:val="28"/>
          <w:szCs w:val="28"/>
          <w:lang w:val="es-CL"/>
        </w:rPr>
      </w:pPr>
    </w:p>
    <w:p w14:paraId="319ECB91" w14:textId="77777777" w:rsidR="008E57EF" w:rsidRPr="00BC2647" w:rsidRDefault="008E57EF" w:rsidP="008E57EF">
      <w:pPr>
        <w:tabs>
          <w:tab w:val="left" w:pos="-1440"/>
          <w:tab w:val="left" w:pos="-720"/>
          <w:tab w:val="left" w:pos="-270"/>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284"/>
        <w:jc w:val="center"/>
        <w:rPr>
          <w:rFonts w:ascii="Garamond" w:hAnsi="Garamond"/>
          <w:b/>
          <w:sz w:val="28"/>
          <w:szCs w:val="28"/>
        </w:rPr>
      </w:pPr>
    </w:p>
    <w:p w14:paraId="33F43698" w14:textId="77777777" w:rsidR="008E57EF" w:rsidRPr="00BC2647" w:rsidRDefault="008E57EF" w:rsidP="008E57EF">
      <w:pPr>
        <w:tabs>
          <w:tab w:val="left" w:pos="-1440"/>
          <w:tab w:val="left" w:pos="-720"/>
          <w:tab w:val="left" w:pos="-270"/>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284"/>
        <w:jc w:val="center"/>
        <w:rPr>
          <w:rFonts w:ascii="Garamond" w:hAnsi="Garamond"/>
          <w:b/>
          <w:sz w:val="28"/>
          <w:szCs w:val="28"/>
        </w:rPr>
      </w:pPr>
    </w:p>
    <w:p w14:paraId="3ADF328C" w14:textId="77777777" w:rsidR="008E57EF" w:rsidRPr="00BC2647" w:rsidRDefault="008E57EF" w:rsidP="008E57EF">
      <w:pPr>
        <w:tabs>
          <w:tab w:val="left" w:pos="-1440"/>
          <w:tab w:val="left" w:pos="-720"/>
          <w:tab w:val="left" w:pos="-270"/>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284"/>
        <w:jc w:val="center"/>
        <w:rPr>
          <w:rFonts w:ascii="Garamond" w:hAnsi="Garamond"/>
          <w:b/>
          <w:sz w:val="28"/>
          <w:szCs w:val="28"/>
        </w:rPr>
      </w:pPr>
    </w:p>
    <w:p w14:paraId="1FA2E9B9" w14:textId="77777777" w:rsidR="008E57EF" w:rsidRPr="00BC2647" w:rsidRDefault="008E57EF" w:rsidP="008E57EF">
      <w:pPr>
        <w:tabs>
          <w:tab w:val="left" w:pos="-1440"/>
          <w:tab w:val="left" w:pos="-720"/>
          <w:tab w:val="left" w:pos="-270"/>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284"/>
        <w:jc w:val="center"/>
        <w:rPr>
          <w:rFonts w:ascii="Garamond" w:hAnsi="Garamond"/>
          <w:b/>
          <w:sz w:val="28"/>
          <w:szCs w:val="28"/>
        </w:rPr>
      </w:pPr>
    </w:p>
    <w:p w14:paraId="47ED0EE9" w14:textId="77777777" w:rsidR="008E57EF" w:rsidRPr="00BC2647" w:rsidRDefault="008E57EF" w:rsidP="008E57EF">
      <w:pPr>
        <w:tabs>
          <w:tab w:val="left" w:pos="-1440"/>
          <w:tab w:val="left" w:pos="-720"/>
          <w:tab w:val="left" w:pos="-270"/>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284"/>
        <w:jc w:val="center"/>
        <w:rPr>
          <w:rFonts w:ascii="Garamond" w:hAnsi="Garamond"/>
          <w:b/>
          <w:sz w:val="28"/>
          <w:szCs w:val="28"/>
        </w:rPr>
      </w:pPr>
    </w:p>
    <w:p w14:paraId="6C61DD07" w14:textId="77777777" w:rsidR="008E57EF" w:rsidRPr="00BC2647" w:rsidRDefault="008E57EF" w:rsidP="008E57EF">
      <w:pPr>
        <w:tabs>
          <w:tab w:val="left" w:pos="-1440"/>
          <w:tab w:val="left" w:pos="-720"/>
          <w:tab w:val="left" w:pos="-270"/>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284"/>
        <w:jc w:val="center"/>
        <w:rPr>
          <w:rFonts w:ascii="Garamond" w:hAnsi="Garamond"/>
          <w:b/>
          <w:sz w:val="28"/>
          <w:szCs w:val="28"/>
        </w:rPr>
      </w:pPr>
      <w:r w:rsidRPr="00BC2647">
        <w:rPr>
          <w:rFonts w:ascii="Garamond" w:hAnsi="Garamond"/>
          <w:b/>
          <w:sz w:val="28"/>
          <w:szCs w:val="28"/>
        </w:rPr>
        <w:t>Alejandro Romero Seguel</w:t>
      </w:r>
    </w:p>
    <w:p w14:paraId="01695453" w14:textId="77777777" w:rsidR="008E57EF" w:rsidRPr="00BC2647" w:rsidRDefault="008E57EF" w:rsidP="008E57EF">
      <w:pPr>
        <w:tabs>
          <w:tab w:val="left" w:pos="284"/>
        </w:tabs>
        <w:spacing w:after="0" w:line="240" w:lineRule="atLeast"/>
        <w:ind w:left="284"/>
        <w:jc w:val="center"/>
        <w:rPr>
          <w:rFonts w:ascii="Garamond" w:hAnsi="Garamond"/>
          <w:b/>
          <w:sz w:val="28"/>
          <w:szCs w:val="28"/>
        </w:rPr>
      </w:pPr>
      <w:r w:rsidRPr="00BC2647">
        <w:rPr>
          <w:rFonts w:ascii="Garamond" w:hAnsi="Garamond"/>
          <w:b/>
          <w:sz w:val="28"/>
          <w:szCs w:val="28"/>
        </w:rPr>
        <w:t>Doctor en Derecho (Universidad de Navarra)</w:t>
      </w:r>
    </w:p>
    <w:p w14:paraId="40D4B484" w14:textId="77777777" w:rsidR="008E57EF" w:rsidRPr="00BC2647" w:rsidRDefault="008E57EF" w:rsidP="008E57EF">
      <w:pPr>
        <w:spacing w:after="0"/>
        <w:jc w:val="center"/>
        <w:rPr>
          <w:rFonts w:ascii="Garamond" w:hAnsi="Garamond"/>
          <w:b/>
          <w:sz w:val="28"/>
          <w:szCs w:val="28"/>
        </w:rPr>
      </w:pPr>
      <w:r w:rsidRPr="00BC2647">
        <w:rPr>
          <w:rFonts w:ascii="Garamond" w:hAnsi="Garamond"/>
          <w:b/>
          <w:sz w:val="28"/>
          <w:szCs w:val="28"/>
        </w:rPr>
        <w:t>Profesor de Derecho Procesal</w:t>
      </w:r>
    </w:p>
    <w:p w14:paraId="3B1E06EB" w14:textId="77777777" w:rsidR="008E57EF" w:rsidRPr="00BC2647" w:rsidRDefault="008E57EF" w:rsidP="008E57EF">
      <w:pPr>
        <w:pStyle w:val="00-Textogeneralc12"/>
        <w:spacing w:after="0" w:line="240" w:lineRule="auto"/>
        <w:ind w:firstLine="0"/>
        <w:rPr>
          <w:rStyle w:val="Notaapie"/>
          <w:rFonts w:ascii="Garamond" w:hAnsi="Garamond"/>
          <w:smallCaps/>
          <w:color w:val="auto"/>
          <w:sz w:val="28"/>
          <w:szCs w:val="28"/>
          <w:lang w:val="es-CL"/>
        </w:rPr>
      </w:pPr>
    </w:p>
    <w:p w14:paraId="295FE897" w14:textId="77777777" w:rsidR="009A14B8" w:rsidRDefault="009A14B8" w:rsidP="009A14B8">
      <w:pPr>
        <w:spacing w:before="120" w:after="120"/>
        <w:jc w:val="both"/>
        <w:rPr>
          <w:rStyle w:val="Notaapie"/>
          <w:rFonts w:ascii="Garamond" w:hAnsi="Garamond"/>
          <w:smallCaps/>
          <w:sz w:val="28"/>
          <w:szCs w:val="28"/>
          <w:lang w:val="es-CL"/>
        </w:rPr>
      </w:pPr>
    </w:p>
    <w:p w14:paraId="1B1E3679" w14:textId="77777777" w:rsidR="009A14B8" w:rsidRDefault="009A14B8" w:rsidP="009A14B8">
      <w:pPr>
        <w:spacing w:before="120" w:after="120"/>
        <w:jc w:val="both"/>
        <w:rPr>
          <w:rStyle w:val="Notaapie"/>
          <w:rFonts w:ascii="Garamond" w:hAnsi="Garamond"/>
          <w:smallCaps/>
          <w:sz w:val="28"/>
          <w:szCs w:val="28"/>
          <w:lang w:val="es-CL"/>
        </w:rPr>
      </w:pPr>
    </w:p>
    <w:p w14:paraId="27CEBF40" w14:textId="77777777" w:rsidR="009A14B8" w:rsidRDefault="009A14B8" w:rsidP="009A14B8">
      <w:pPr>
        <w:spacing w:before="120" w:after="120"/>
        <w:ind w:left="705" w:hanging="705"/>
        <w:jc w:val="both"/>
        <w:rPr>
          <w:rStyle w:val="Notaapie"/>
          <w:rFonts w:ascii="Garamond" w:hAnsi="Garamond"/>
          <w:b/>
          <w:bCs/>
          <w:smallCaps/>
          <w:sz w:val="28"/>
          <w:szCs w:val="28"/>
          <w:lang w:val="es-CL"/>
        </w:rPr>
      </w:pPr>
      <w:r w:rsidRPr="00A848D2">
        <w:rPr>
          <w:rStyle w:val="Notaapie"/>
          <w:rFonts w:ascii="Garamond" w:hAnsi="Garamond"/>
          <w:b/>
          <w:bCs/>
          <w:smallCaps/>
          <w:sz w:val="28"/>
          <w:szCs w:val="28"/>
          <w:lang w:val="es-CL"/>
        </w:rPr>
        <w:lastRenderedPageBreak/>
        <w:t>I.</w:t>
      </w:r>
      <w:r w:rsidRPr="00A848D2">
        <w:rPr>
          <w:rStyle w:val="Notaapie"/>
          <w:rFonts w:ascii="Garamond" w:hAnsi="Garamond"/>
          <w:b/>
          <w:bCs/>
          <w:smallCaps/>
          <w:sz w:val="28"/>
          <w:szCs w:val="28"/>
          <w:lang w:val="es-CL"/>
        </w:rPr>
        <w:tab/>
      </w:r>
      <w:r w:rsidR="00431EAE" w:rsidRPr="00A848D2">
        <w:rPr>
          <w:rStyle w:val="Notaapie"/>
          <w:rFonts w:ascii="Garamond" w:hAnsi="Garamond"/>
          <w:b/>
          <w:bCs/>
          <w:smallCaps/>
          <w:sz w:val="28"/>
          <w:szCs w:val="28"/>
          <w:lang w:val="es-CL"/>
        </w:rPr>
        <w:t>PROBLEMAS</w:t>
      </w:r>
      <w:r w:rsidR="00431EAE" w:rsidRPr="009A14B8">
        <w:rPr>
          <w:rStyle w:val="Notaapie"/>
          <w:rFonts w:ascii="Garamond" w:hAnsi="Garamond"/>
          <w:b/>
          <w:bCs/>
          <w:smallCaps/>
          <w:sz w:val="28"/>
          <w:szCs w:val="28"/>
          <w:lang w:val="es-CL"/>
        </w:rPr>
        <w:t xml:space="preserve"> TÉCNICOS QUE TRAERÍA </w:t>
      </w:r>
      <w:r>
        <w:rPr>
          <w:rStyle w:val="Notaapie"/>
          <w:rFonts w:ascii="Garamond" w:hAnsi="Garamond"/>
          <w:b/>
          <w:bCs/>
          <w:smallCaps/>
          <w:sz w:val="28"/>
          <w:szCs w:val="28"/>
          <w:lang w:val="es-CL"/>
        </w:rPr>
        <w:t>A</w:t>
      </w:r>
      <w:r w:rsidR="00431EAE" w:rsidRPr="009A14B8">
        <w:rPr>
          <w:rStyle w:val="Notaapie"/>
          <w:rFonts w:ascii="Garamond" w:hAnsi="Garamond"/>
          <w:b/>
          <w:bCs/>
          <w:smallCaps/>
          <w:sz w:val="28"/>
          <w:szCs w:val="28"/>
          <w:lang w:val="es-CL"/>
        </w:rPr>
        <w:t xml:space="preserve">PROBAR </w:t>
      </w:r>
      <w:r>
        <w:rPr>
          <w:rStyle w:val="Notaapie"/>
          <w:rFonts w:ascii="Garamond" w:hAnsi="Garamond"/>
          <w:b/>
          <w:bCs/>
          <w:smallCaps/>
          <w:sz w:val="28"/>
          <w:szCs w:val="28"/>
          <w:lang w:val="es-CL"/>
        </w:rPr>
        <w:t>ALGUNAS NORMAS DEL CAPITULO VII</w:t>
      </w:r>
      <w:r w:rsidR="00431EAE" w:rsidRPr="00BC2647">
        <w:rPr>
          <w:rStyle w:val="Notaapie"/>
          <w:rFonts w:ascii="Garamond" w:hAnsi="Garamond"/>
          <w:b/>
          <w:bCs/>
          <w:smallCaps/>
          <w:sz w:val="28"/>
          <w:szCs w:val="28"/>
          <w:lang w:val="es-CL"/>
        </w:rPr>
        <w:t xml:space="preserve"> </w:t>
      </w:r>
    </w:p>
    <w:p w14:paraId="084F3072" w14:textId="0C919001" w:rsidR="009A14B8" w:rsidRPr="009A14B8" w:rsidRDefault="009A14B8" w:rsidP="009A14B8">
      <w:pPr>
        <w:spacing w:before="120" w:after="120"/>
        <w:ind w:left="705" w:hanging="705"/>
        <w:jc w:val="both"/>
        <w:rPr>
          <w:rStyle w:val="Notaapie"/>
          <w:rFonts w:ascii="Garamond" w:hAnsi="Garamond"/>
          <w:b/>
          <w:bCs/>
          <w:smallCaps/>
          <w:sz w:val="28"/>
          <w:szCs w:val="28"/>
          <w:lang w:val="es-CL"/>
        </w:rPr>
      </w:pPr>
      <w:r w:rsidRPr="009A14B8">
        <w:rPr>
          <w:rStyle w:val="Notaapie"/>
          <w:rFonts w:ascii="Garamond" w:hAnsi="Garamond"/>
          <w:b/>
          <w:bCs/>
          <w:smallCaps/>
          <w:sz w:val="28"/>
          <w:szCs w:val="28"/>
          <w:lang w:val="es-CL"/>
        </w:rPr>
        <w:t xml:space="preserve">1.  </w:t>
      </w:r>
      <w:r w:rsidRPr="009A14B8">
        <w:rPr>
          <w:rStyle w:val="Notaapie"/>
          <w:rFonts w:ascii="Garamond" w:hAnsi="Garamond"/>
          <w:b/>
          <w:bCs/>
          <w:smallCaps/>
          <w:sz w:val="28"/>
          <w:szCs w:val="28"/>
          <w:lang w:val="es-CL"/>
        </w:rPr>
        <w:tab/>
        <w:t xml:space="preserve">En </w:t>
      </w:r>
      <w:r w:rsidRPr="009A14B8">
        <w:rPr>
          <w:rFonts w:ascii="Garamond" w:hAnsi="Garamond"/>
          <w:b/>
          <w:bCs/>
          <w:smallCaps/>
          <w:spacing w:val="-2"/>
          <w:sz w:val="28"/>
          <w:szCs w:val="28"/>
        </w:rPr>
        <w:t>la regla de la radicación</w:t>
      </w:r>
    </w:p>
    <w:p w14:paraId="66F61C30" w14:textId="1C9344DC" w:rsidR="00431EAE" w:rsidRPr="00BC2647" w:rsidRDefault="008E57EF" w:rsidP="00431EAE">
      <w:pPr>
        <w:pStyle w:val="Ttulo2"/>
        <w:tabs>
          <w:tab w:val="left" w:pos="284"/>
        </w:tabs>
        <w:spacing w:before="120" w:after="120" w:line="240" w:lineRule="atLeast"/>
        <w:rPr>
          <w:rFonts w:ascii="Garamond" w:hAnsi="Garamond"/>
          <w:sz w:val="28"/>
          <w:szCs w:val="28"/>
          <w:lang w:val="es-CL"/>
        </w:rPr>
      </w:pPr>
      <w:r w:rsidRPr="00BC2647">
        <w:rPr>
          <w:rFonts w:ascii="Garamond" w:hAnsi="Garamond"/>
          <w:sz w:val="28"/>
          <w:szCs w:val="28"/>
          <w:lang w:val="es-CL"/>
        </w:rPr>
        <w:tab/>
      </w:r>
      <w:r w:rsidRPr="00BC2647">
        <w:rPr>
          <w:rFonts w:ascii="Garamond" w:hAnsi="Garamond"/>
          <w:sz w:val="28"/>
          <w:szCs w:val="28"/>
          <w:lang w:val="es-CL"/>
        </w:rPr>
        <w:tab/>
      </w:r>
      <w:r w:rsidR="00431EAE" w:rsidRPr="00BC2647">
        <w:rPr>
          <w:rFonts w:ascii="Garamond" w:hAnsi="Garamond"/>
          <w:sz w:val="28"/>
          <w:szCs w:val="28"/>
          <w:lang w:val="es-CL"/>
        </w:rPr>
        <w:t xml:space="preserve">Es un error </w:t>
      </w:r>
      <w:r w:rsidR="00BC2647">
        <w:rPr>
          <w:rFonts w:ascii="Garamond" w:hAnsi="Garamond"/>
          <w:sz w:val="28"/>
          <w:szCs w:val="28"/>
          <w:lang w:val="es-CL"/>
        </w:rPr>
        <w:t xml:space="preserve">técnico </w:t>
      </w:r>
      <w:r w:rsidR="00431EAE" w:rsidRPr="00BC2647">
        <w:rPr>
          <w:rFonts w:ascii="Garamond" w:hAnsi="Garamond"/>
          <w:sz w:val="28"/>
          <w:szCs w:val="28"/>
          <w:lang w:val="es-CL"/>
        </w:rPr>
        <w:t xml:space="preserve">la referencia en el numeral 1 del art. 153 </w:t>
      </w:r>
      <w:r w:rsidR="00BC2647">
        <w:rPr>
          <w:rFonts w:ascii="Garamond" w:hAnsi="Garamond"/>
          <w:sz w:val="28"/>
          <w:szCs w:val="28"/>
          <w:lang w:val="es-CL"/>
        </w:rPr>
        <w:t xml:space="preserve">del Proyecto indicar </w:t>
      </w:r>
      <w:r w:rsidR="00431EAE" w:rsidRPr="00BC2647">
        <w:rPr>
          <w:rFonts w:ascii="Garamond" w:hAnsi="Garamond"/>
          <w:sz w:val="28"/>
          <w:szCs w:val="28"/>
          <w:lang w:val="es-CL"/>
        </w:rPr>
        <w:t xml:space="preserve">que la función jurisdiccional la deben cumplir </w:t>
      </w:r>
      <w:r w:rsidR="00431EAE" w:rsidRPr="00BC2647">
        <w:rPr>
          <w:rFonts w:ascii="Garamond" w:hAnsi="Garamond"/>
          <w:i/>
          <w:iCs/>
          <w:sz w:val="28"/>
          <w:szCs w:val="28"/>
          <w:lang w:val="es-CL"/>
        </w:rPr>
        <w:t>“tribunales previamente establecidos por la ley”.</w:t>
      </w:r>
    </w:p>
    <w:p w14:paraId="75D5F817" w14:textId="77777777" w:rsidR="009A14B8" w:rsidRDefault="00431EAE" w:rsidP="00431EAE">
      <w:pPr>
        <w:pStyle w:val="Ttulo2"/>
        <w:tabs>
          <w:tab w:val="left" w:pos="284"/>
        </w:tabs>
        <w:spacing w:before="120" w:after="120" w:line="240" w:lineRule="atLeast"/>
        <w:rPr>
          <w:rFonts w:ascii="Garamond" w:hAnsi="Garamond"/>
          <w:sz w:val="28"/>
          <w:szCs w:val="28"/>
          <w:lang w:val="es-CL"/>
        </w:rPr>
      </w:pPr>
      <w:r w:rsidRPr="00BC2647">
        <w:rPr>
          <w:rFonts w:ascii="Garamond" w:hAnsi="Garamond"/>
          <w:sz w:val="28"/>
          <w:szCs w:val="28"/>
          <w:lang w:val="es-CL"/>
        </w:rPr>
        <w:tab/>
      </w:r>
      <w:r w:rsidRPr="00BC2647">
        <w:rPr>
          <w:rFonts w:ascii="Garamond" w:hAnsi="Garamond"/>
          <w:sz w:val="28"/>
          <w:szCs w:val="28"/>
          <w:lang w:val="es-CL"/>
        </w:rPr>
        <w:tab/>
        <w:t>La expresión indicada no se aviene con nuestra tradición constitucional</w:t>
      </w:r>
      <w:r w:rsidR="009A14B8">
        <w:rPr>
          <w:rFonts w:ascii="Garamond" w:hAnsi="Garamond"/>
          <w:sz w:val="28"/>
          <w:szCs w:val="28"/>
          <w:lang w:val="es-CL"/>
        </w:rPr>
        <w:t>,</w:t>
      </w:r>
      <w:r w:rsidRPr="00BC2647">
        <w:rPr>
          <w:rFonts w:ascii="Garamond" w:hAnsi="Garamond"/>
          <w:sz w:val="28"/>
          <w:szCs w:val="28"/>
          <w:lang w:val="es-CL"/>
        </w:rPr>
        <w:t xml:space="preserve"> en</w:t>
      </w:r>
      <w:r w:rsidR="00BC2647">
        <w:rPr>
          <w:rFonts w:ascii="Garamond" w:hAnsi="Garamond"/>
          <w:sz w:val="28"/>
          <w:szCs w:val="28"/>
          <w:lang w:val="es-CL"/>
        </w:rPr>
        <w:t xml:space="preserve"> la forma como se </w:t>
      </w:r>
      <w:r w:rsidRPr="00BC2647">
        <w:rPr>
          <w:rFonts w:ascii="Garamond" w:hAnsi="Garamond"/>
          <w:sz w:val="28"/>
          <w:szCs w:val="28"/>
          <w:lang w:val="es-CL"/>
        </w:rPr>
        <w:t>determina</w:t>
      </w:r>
      <w:r w:rsidR="00BC2647">
        <w:rPr>
          <w:rFonts w:ascii="Garamond" w:hAnsi="Garamond"/>
          <w:sz w:val="28"/>
          <w:szCs w:val="28"/>
          <w:lang w:val="es-CL"/>
        </w:rPr>
        <w:t xml:space="preserve"> la </w:t>
      </w:r>
      <w:r w:rsidRPr="00BC2647">
        <w:rPr>
          <w:rFonts w:ascii="Garamond" w:hAnsi="Garamond"/>
          <w:sz w:val="28"/>
          <w:szCs w:val="28"/>
          <w:lang w:val="es-CL"/>
        </w:rPr>
        <w:t xml:space="preserve">competencia. </w:t>
      </w:r>
    </w:p>
    <w:p w14:paraId="2789EC6C" w14:textId="77777777" w:rsidR="009A14B8" w:rsidRDefault="009A14B8" w:rsidP="00BC2647">
      <w:pPr>
        <w:pStyle w:val="Ttulo2"/>
        <w:tabs>
          <w:tab w:val="left" w:pos="284"/>
        </w:tabs>
        <w:spacing w:before="120" w:after="120" w:line="240" w:lineRule="atLeast"/>
        <w:rPr>
          <w:rStyle w:val="Notaapie"/>
          <w:rFonts w:ascii="Garamond" w:hAnsi="Garamond"/>
          <w:sz w:val="28"/>
          <w:szCs w:val="28"/>
          <w:lang w:val="es-CL"/>
        </w:rPr>
      </w:pPr>
      <w:r>
        <w:rPr>
          <w:rFonts w:ascii="Garamond" w:hAnsi="Garamond"/>
          <w:sz w:val="28"/>
          <w:szCs w:val="28"/>
          <w:lang w:val="es-CL"/>
        </w:rPr>
        <w:tab/>
      </w:r>
      <w:r>
        <w:rPr>
          <w:rFonts w:ascii="Garamond" w:hAnsi="Garamond"/>
          <w:sz w:val="28"/>
          <w:szCs w:val="28"/>
          <w:lang w:val="es-CL"/>
        </w:rPr>
        <w:tab/>
      </w:r>
      <w:r w:rsidR="00431EAE" w:rsidRPr="00BC2647">
        <w:rPr>
          <w:rStyle w:val="Notaapie"/>
          <w:rFonts w:ascii="Garamond" w:hAnsi="Garamond"/>
          <w:sz w:val="28"/>
          <w:szCs w:val="28"/>
          <w:lang w:val="es-CL"/>
        </w:rPr>
        <w:t xml:space="preserve">Con </w:t>
      </w:r>
      <w:r w:rsidR="00BC2647">
        <w:rPr>
          <w:rStyle w:val="Notaapie"/>
          <w:rFonts w:ascii="Garamond" w:hAnsi="Garamond"/>
          <w:sz w:val="28"/>
          <w:szCs w:val="28"/>
          <w:lang w:val="es-CL"/>
        </w:rPr>
        <w:t xml:space="preserve">esa limitación podría surgir </w:t>
      </w:r>
      <w:r w:rsidR="00431EAE" w:rsidRPr="00BC2647">
        <w:rPr>
          <w:rStyle w:val="Notaapie"/>
          <w:rFonts w:ascii="Garamond" w:hAnsi="Garamond"/>
          <w:sz w:val="28"/>
          <w:szCs w:val="28"/>
          <w:lang w:val="es-CL"/>
        </w:rPr>
        <w:t xml:space="preserve">un problema que hasta la fecha no </w:t>
      </w:r>
      <w:r w:rsidR="00BC2647">
        <w:rPr>
          <w:rStyle w:val="Notaapie"/>
          <w:rFonts w:ascii="Garamond" w:hAnsi="Garamond"/>
          <w:sz w:val="28"/>
          <w:szCs w:val="28"/>
          <w:lang w:val="es-CL"/>
        </w:rPr>
        <w:t xml:space="preserve">se </w:t>
      </w:r>
      <w:r w:rsidR="00431EAE" w:rsidRPr="00BC2647">
        <w:rPr>
          <w:rStyle w:val="Notaapie"/>
          <w:rFonts w:ascii="Garamond" w:hAnsi="Garamond"/>
          <w:sz w:val="28"/>
          <w:szCs w:val="28"/>
          <w:lang w:val="es-CL"/>
        </w:rPr>
        <w:t>ha</w:t>
      </w:r>
      <w:r w:rsidR="00BC2647">
        <w:rPr>
          <w:rStyle w:val="Notaapie"/>
          <w:rFonts w:ascii="Garamond" w:hAnsi="Garamond"/>
          <w:sz w:val="28"/>
          <w:szCs w:val="28"/>
          <w:lang w:val="es-CL"/>
        </w:rPr>
        <w:t xml:space="preserve"> presentado cuando se</w:t>
      </w:r>
      <w:r w:rsidR="00431EAE" w:rsidRPr="00BC2647">
        <w:rPr>
          <w:rStyle w:val="Notaapie"/>
          <w:rFonts w:ascii="Garamond" w:hAnsi="Garamond"/>
          <w:sz w:val="28"/>
          <w:szCs w:val="28"/>
          <w:lang w:val="es-CL"/>
        </w:rPr>
        <w:t xml:space="preserve"> crean Tribunales a los que </w:t>
      </w:r>
      <w:r w:rsidR="00BC2647">
        <w:rPr>
          <w:rStyle w:val="Notaapie"/>
          <w:rFonts w:ascii="Garamond" w:hAnsi="Garamond"/>
          <w:sz w:val="28"/>
          <w:szCs w:val="28"/>
          <w:lang w:val="es-CL"/>
        </w:rPr>
        <w:t xml:space="preserve">la ley </w:t>
      </w:r>
      <w:r w:rsidR="00431EAE" w:rsidRPr="00BC2647">
        <w:rPr>
          <w:rStyle w:val="Notaapie"/>
          <w:rFonts w:ascii="Garamond" w:hAnsi="Garamond"/>
          <w:sz w:val="28"/>
          <w:szCs w:val="28"/>
          <w:lang w:val="es-CL"/>
        </w:rPr>
        <w:t xml:space="preserve">les encomienda seguir conociendo de asuntos </w:t>
      </w:r>
      <w:r w:rsidR="00BC2647" w:rsidRPr="00BC2647">
        <w:rPr>
          <w:rStyle w:val="Notaapie"/>
          <w:rFonts w:ascii="Garamond" w:hAnsi="Garamond"/>
          <w:sz w:val="28"/>
          <w:szCs w:val="28"/>
          <w:lang w:val="es-CL"/>
        </w:rPr>
        <w:t>o de juicios pendientes</w:t>
      </w:r>
      <w:r w:rsidR="00BC2647">
        <w:rPr>
          <w:rStyle w:val="Notaapie"/>
          <w:rFonts w:ascii="Garamond" w:hAnsi="Garamond"/>
          <w:sz w:val="28"/>
          <w:szCs w:val="28"/>
          <w:lang w:val="es-CL"/>
        </w:rPr>
        <w:t xml:space="preserve"> o en tramitación</w:t>
      </w:r>
      <w:r w:rsidR="00BC2647" w:rsidRPr="00BC2647">
        <w:rPr>
          <w:rStyle w:val="Notaapie"/>
          <w:rFonts w:ascii="Garamond" w:hAnsi="Garamond"/>
          <w:sz w:val="28"/>
          <w:szCs w:val="28"/>
          <w:lang w:val="es-CL"/>
        </w:rPr>
        <w:t xml:space="preserve">. </w:t>
      </w:r>
      <w:r w:rsidR="00BC2647">
        <w:rPr>
          <w:rStyle w:val="Notaapie"/>
          <w:rFonts w:ascii="Garamond" w:hAnsi="Garamond"/>
          <w:sz w:val="28"/>
          <w:szCs w:val="28"/>
          <w:lang w:val="es-CL"/>
        </w:rPr>
        <w:t xml:space="preserve">Con esta norma se </w:t>
      </w:r>
      <w:r w:rsidR="00BC2647" w:rsidRPr="00BC2647">
        <w:rPr>
          <w:rStyle w:val="Notaapie"/>
          <w:rFonts w:ascii="Garamond" w:hAnsi="Garamond"/>
          <w:sz w:val="28"/>
          <w:szCs w:val="28"/>
          <w:lang w:val="es-CL"/>
        </w:rPr>
        <w:t>obligará a mantener a órganos jurisdiccionales hasta que concluyan las causas iniciadas antes del surgimiento del nuevo Tribunal.</w:t>
      </w:r>
    </w:p>
    <w:p w14:paraId="459ED56C" w14:textId="5467A74C" w:rsidR="009A14B8" w:rsidRDefault="009A14B8" w:rsidP="00BC2647">
      <w:pPr>
        <w:pStyle w:val="Ttulo2"/>
        <w:tabs>
          <w:tab w:val="left" w:pos="284"/>
        </w:tabs>
        <w:spacing w:before="120" w:after="120" w:line="240" w:lineRule="atLeast"/>
        <w:rPr>
          <w:rStyle w:val="Notaapie"/>
          <w:rFonts w:ascii="Garamond" w:hAnsi="Garamond"/>
          <w:sz w:val="28"/>
          <w:szCs w:val="28"/>
          <w:lang w:val="es-CL"/>
        </w:rPr>
      </w:pPr>
      <w:r>
        <w:rPr>
          <w:rStyle w:val="Notaapie"/>
          <w:rFonts w:ascii="Garamond" w:hAnsi="Garamond"/>
          <w:sz w:val="28"/>
          <w:szCs w:val="28"/>
          <w:lang w:val="es-CL"/>
        </w:rPr>
        <w:tab/>
      </w:r>
      <w:r>
        <w:rPr>
          <w:rStyle w:val="Notaapie"/>
          <w:rFonts w:ascii="Garamond" w:hAnsi="Garamond"/>
          <w:sz w:val="28"/>
          <w:szCs w:val="28"/>
          <w:lang w:val="es-CL"/>
        </w:rPr>
        <w:tab/>
      </w:r>
      <w:r w:rsidR="00431EAE" w:rsidRPr="00BC2647">
        <w:rPr>
          <w:rStyle w:val="Notaapie"/>
          <w:rFonts w:ascii="Garamond" w:hAnsi="Garamond"/>
          <w:sz w:val="28"/>
          <w:szCs w:val="28"/>
          <w:lang w:val="es-CL"/>
        </w:rPr>
        <w:t xml:space="preserve">Por ejemplo, si un determinado asunto se radicó en un juzgado de letras con competencia en lo civil y en el curso de la causa se modifica su competencia, pasando el asunto a la esfera de atribuciones de un </w:t>
      </w:r>
      <w:r w:rsidR="00BC2647" w:rsidRPr="00BC2647">
        <w:rPr>
          <w:rStyle w:val="Notaapie"/>
          <w:rFonts w:ascii="Garamond" w:hAnsi="Garamond"/>
          <w:sz w:val="28"/>
          <w:szCs w:val="28"/>
          <w:lang w:val="es-CL"/>
        </w:rPr>
        <w:t>nuevo tribunal</w:t>
      </w:r>
      <w:r w:rsidR="00431EAE" w:rsidRPr="00BC2647">
        <w:rPr>
          <w:rStyle w:val="Notaapie"/>
          <w:rFonts w:ascii="Garamond" w:hAnsi="Garamond"/>
          <w:sz w:val="28"/>
          <w:szCs w:val="28"/>
          <w:lang w:val="es-CL"/>
        </w:rPr>
        <w:t xml:space="preserve">, </w:t>
      </w:r>
      <w:r>
        <w:rPr>
          <w:rStyle w:val="Notaapie"/>
          <w:rFonts w:ascii="Garamond" w:hAnsi="Garamond"/>
          <w:sz w:val="28"/>
          <w:szCs w:val="28"/>
          <w:lang w:val="es-CL"/>
        </w:rPr>
        <w:t xml:space="preserve">ello lo impedirá la nueva </w:t>
      </w:r>
      <w:r w:rsidR="00BC2647" w:rsidRPr="00BC2647">
        <w:rPr>
          <w:rStyle w:val="Notaapie"/>
          <w:rFonts w:ascii="Garamond" w:hAnsi="Garamond"/>
          <w:sz w:val="28"/>
          <w:szCs w:val="28"/>
          <w:lang w:val="es-CL"/>
        </w:rPr>
        <w:t>norma.</w:t>
      </w:r>
    </w:p>
    <w:p w14:paraId="030E38BF" w14:textId="77777777" w:rsidR="009A14B8" w:rsidRDefault="009A14B8" w:rsidP="00BC2647">
      <w:pPr>
        <w:pStyle w:val="Ttulo2"/>
        <w:tabs>
          <w:tab w:val="left" w:pos="284"/>
        </w:tabs>
        <w:spacing w:before="120" w:after="120" w:line="240" w:lineRule="atLeast"/>
        <w:rPr>
          <w:rStyle w:val="Notaapie"/>
          <w:rFonts w:ascii="Garamond" w:hAnsi="Garamond"/>
          <w:sz w:val="28"/>
          <w:szCs w:val="28"/>
          <w:lang w:val="es-CL"/>
        </w:rPr>
      </w:pPr>
      <w:r>
        <w:rPr>
          <w:rStyle w:val="Notaapie"/>
          <w:rFonts w:ascii="Garamond" w:hAnsi="Garamond"/>
          <w:sz w:val="28"/>
          <w:szCs w:val="28"/>
          <w:lang w:val="es-CL"/>
        </w:rPr>
        <w:tab/>
      </w:r>
      <w:r>
        <w:rPr>
          <w:rStyle w:val="Notaapie"/>
          <w:rFonts w:ascii="Garamond" w:hAnsi="Garamond"/>
          <w:sz w:val="28"/>
          <w:szCs w:val="28"/>
          <w:lang w:val="es-CL"/>
        </w:rPr>
        <w:tab/>
      </w:r>
      <w:r w:rsidR="00BC2647" w:rsidRPr="00BC2647">
        <w:rPr>
          <w:rStyle w:val="Notaapie"/>
          <w:rFonts w:ascii="Garamond" w:hAnsi="Garamond"/>
          <w:sz w:val="28"/>
          <w:szCs w:val="28"/>
          <w:lang w:val="es-CL"/>
        </w:rPr>
        <w:t xml:space="preserve">Hasta este momento </w:t>
      </w:r>
      <w:r w:rsidR="00431EAE" w:rsidRPr="00BC2647">
        <w:rPr>
          <w:rStyle w:val="Notaapie"/>
          <w:rFonts w:ascii="Garamond" w:hAnsi="Garamond"/>
          <w:sz w:val="28"/>
          <w:szCs w:val="28"/>
          <w:lang w:val="es-CL"/>
        </w:rPr>
        <w:t xml:space="preserve">el legislador </w:t>
      </w:r>
      <w:r w:rsidR="00BC2647" w:rsidRPr="00BC2647">
        <w:rPr>
          <w:rStyle w:val="Notaapie"/>
          <w:rFonts w:ascii="Garamond" w:hAnsi="Garamond"/>
          <w:sz w:val="28"/>
          <w:szCs w:val="28"/>
          <w:lang w:val="es-CL"/>
        </w:rPr>
        <w:t xml:space="preserve">chileno ha permitido </w:t>
      </w:r>
      <w:r w:rsidR="00431EAE" w:rsidRPr="00BC2647">
        <w:rPr>
          <w:rStyle w:val="Notaapie"/>
          <w:rFonts w:ascii="Garamond" w:hAnsi="Garamond"/>
          <w:sz w:val="28"/>
          <w:szCs w:val="28"/>
          <w:lang w:val="es-CL"/>
        </w:rPr>
        <w:t>que se traspasen juicios pendientes a nuevos tribunales que se incorporan a la estructura jurisdiccional</w:t>
      </w:r>
      <w:r w:rsidR="00BC2647" w:rsidRPr="00BC2647">
        <w:rPr>
          <w:rStyle w:val="Notaapie"/>
          <w:rFonts w:ascii="Garamond" w:hAnsi="Garamond"/>
          <w:sz w:val="28"/>
          <w:szCs w:val="28"/>
          <w:lang w:val="es-CL"/>
        </w:rPr>
        <w:t xml:space="preserve">, sin </w:t>
      </w:r>
      <w:r>
        <w:rPr>
          <w:rStyle w:val="Notaapie"/>
          <w:rFonts w:ascii="Garamond" w:hAnsi="Garamond"/>
          <w:sz w:val="28"/>
          <w:szCs w:val="28"/>
          <w:lang w:val="es-CL"/>
        </w:rPr>
        <w:t xml:space="preserve">promover </w:t>
      </w:r>
      <w:r w:rsidR="00BC2647" w:rsidRPr="00BC2647">
        <w:rPr>
          <w:rStyle w:val="Notaapie"/>
          <w:rFonts w:ascii="Garamond" w:hAnsi="Garamond"/>
          <w:sz w:val="28"/>
          <w:szCs w:val="28"/>
          <w:lang w:val="es-CL"/>
        </w:rPr>
        <w:t>problemas de constitucionalidad</w:t>
      </w:r>
      <w:r w:rsidR="00BC2647">
        <w:rPr>
          <w:rStyle w:val="Notaapie"/>
          <w:rFonts w:ascii="Garamond" w:hAnsi="Garamond"/>
          <w:sz w:val="28"/>
          <w:szCs w:val="28"/>
          <w:lang w:val="es-CL"/>
        </w:rPr>
        <w:t>,</w:t>
      </w:r>
      <w:r w:rsidR="00BC2647" w:rsidRPr="00BC2647">
        <w:rPr>
          <w:rStyle w:val="Notaapie"/>
          <w:rFonts w:ascii="Garamond" w:hAnsi="Garamond"/>
          <w:sz w:val="28"/>
          <w:szCs w:val="28"/>
          <w:lang w:val="es-CL"/>
        </w:rPr>
        <w:t xml:space="preserve"> como el que </w:t>
      </w:r>
      <w:r w:rsidR="00BC2647">
        <w:rPr>
          <w:rStyle w:val="Notaapie"/>
          <w:rFonts w:ascii="Garamond" w:hAnsi="Garamond"/>
          <w:sz w:val="28"/>
          <w:szCs w:val="28"/>
          <w:lang w:val="es-CL"/>
        </w:rPr>
        <w:t xml:space="preserve">inequívocamente </w:t>
      </w:r>
      <w:r w:rsidR="00BC2647" w:rsidRPr="00BC2647">
        <w:rPr>
          <w:rStyle w:val="Notaapie"/>
          <w:rFonts w:ascii="Garamond" w:hAnsi="Garamond"/>
          <w:sz w:val="28"/>
          <w:szCs w:val="28"/>
          <w:lang w:val="es-CL"/>
        </w:rPr>
        <w:t>provocará esta propuesta</w:t>
      </w:r>
      <w:r w:rsidR="00431EAE" w:rsidRPr="00BC2647">
        <w:rPr>
          <w:rStyle w:val="Notaapie"/>
          <w:rFonts w:ascii="Garamond" w:hAnsi="Garamond"/>
          <w:sz w:val="28"/>
          <w:szCs w:val="28"/>
          <w:lang w:val="es-CL"/>
        </w:rPr>
        <w:t xml:space="preserve">. </w:t>
      </w:r>
    </w:p>
    <w:p w14:paraId="7ECBAB11" w14:textId="77777777" w:rsidR="009A14B8" w:rsidRDefault="009A14B8" w:rsidP="00BC2647">
      <w:pPr>
        <w:pStyle w:val="Ttulo2"/>
        <w:tabs>
          <w:tab w:val="left" w:pos="284"/>
        </w:tabs>
        <w:spacing w:before="120" w:after="120" w:line="240" w:lineRule="atLeast"/>
        <w:rPr>
          <w:rStyle w:val="Notaapie"/>
          <w:rFonts w:ascii="Garamond" w:hAnsi="Garamond"/>
          <w:sz w:val="28"/>
          <w:szCs w:val="28"/>
          <w:lang w:val="es-CL"/>
        </w:rPr>
      </w:pPr>
      <w:r>
        <w:rPr>
          <w:rStyle w:val="Notaapie"/>
          <w:rFonts w:ascii="Garamond" w:hAnsi="Garamond"/>
          <w:sz w:val="28"/>
          <w:szCs w:val="28"/>
          <w:lang w:val="es-CL"/>
        </w:rPr>
        <w:tab/>
      </w:r>
      <w:r>
        <w:rPr>
          <w:rStyle w:val="Notaapie"/>
          <w:rFonts w:ascii="Garamond" w:hAnsi="Garamond"/>
          <w:sz w:val="28"/>
          <w:szCs w:val="28"/>
          <w:lang w:val="es-CL"/>
        </w:rPr>
        <w:tab/>
      </w:r>
      <w:r w:rsidR="00431EAE" w:rsidRPr="00BC2647">
        <w:rPr>
          <w:rStyle w:val="Notaapie"/>
          <w:rFonts w:ascii="Garamond" w:hAnsi="Garamond"/>
          <w:sz w:val="28"/>
          <w:szCs w:val="28"/>
          <w:lang w:val="es-CL"/>
        </w:rPr>
        <w:t>Dentro de las razones que</w:t>
      </w:r>
      <w:r w:rsidR="00BC2647" w:rsidRPr="00BC2647">
        <w:rPr>
          <w:rStyle w:val="Notaapie"/>
          <w:rFonts w:ascii="Garamond" w:hAnsi="Garamond"/>
          <w:sz w:val="28"/>
          <w:szCs w:val="28"/>
          <w:lang w:val="es-CL"/>
        </w:rPr>
        <w:t xml:space="preserve"> han validado esta posibilidad esta </w:t>
      </w:r>
      <w:r w:rsidR="00431EAE" w:rsidRPr="00BC2647">
        <w:rPr>
          <w:rStyle w:val="Notaapie"/>
          <w:rFonts w:ascii="Garamond" w:hAnsi="Garamond"/>
          <w:sz w:val="28"/>
          <w:szCs w:val="28"/>
          <w:lang w:val="es-CL"/>
        </w:rPr>
        <w:t xml:space="preserve">el deseo de impedir prolongar la actuación de un órgano jurisdiccional que el legislador ha decidido suprimir. Y también el propósito de evitar el fenómeno de la </w:t>
      </w:r>
      <w:r w:rsidR="00431EAE" w:rsidRPr="00BC2647">
        <w:rPr>
          <w:rStyle w:val="Notaapie"/>
          <w:rFonts w:ascii="Garamond" w:hAnsi="Garamond"/>
          <w:i/>
          <w:iCs/>
          <w:sz w:val="28"/>
          <w:szCs w:val="28"/>
          <w:lang w:val="es-CL"/>
        </w:rPr>
        <w:t>ultra actividad de la ley</w:t>
      </w:r>
      <w:r w:rsidR="00431EAE" w:rsidRPr="00BC2647">
        <w:rPr>
          <w:rStyle w:val="Notaapie"/>
          <w:rFonts w:ascii="Garamond" w:hAnsi="Garamond"/>
          <w:sz w:val="28"/>
          <w:szCs w:val="28"/>
          <w:lang w:val="es-CL"/>
        </w:rPr>
        <w:t xml:space="preserve">, optando por aplicar el principio que la vigencia de las normas procesales debe operar </w:t>
      </w:r>
      <w:r w:rsidR="00431EAE" w:rsidRPr="00BC2647">
        <w:rPr>
          <w:rStyle w:val="Notaapie"/>
          <w:rFonts w:ascii="Garamond" w:hAnsi="Garamond"/>
          <w:i/>
          <w:iCs/>
          <w:sz w:val="28"/>
          <w:szCs w:val="28"/>
          <w:lang w:val="es-CL"/>
        </w:rPr>
        <w:t>in actum</w:t>
      </w:r>
      <w:r w:rsidR="00431EAE" w:rsidRPr="00BC2647">
        <w:rPr>
          <w:rStyle w:val="Notaapie"/>
          <w:rFonts w:ascii="Garamond" w:hAnsi="Garamond"/>
          <w:sz w:val="28"/>
          <w:szCs w:val="28"/>
          <w:lang w:val="es-CL"/>
        </w:rPr>
        <w:t>.</w:t>
      </w:r>
    </w:p>
    <w:p w14:paraId="7DCC677B" w14:textId="16585B04" w:rsidR="00BC2647" w:rsidRDefault="009A14B8" w:rsidP="00BC2647">
      <w:pPr>
        <w:pStyle w:val="Ttulo2"/>
        <w:tabs>
          <w:tab w:val="left" w:pos="284"/>
        </w:tabs>
        <w:spacing w:before="120" w:after="120" w:line="240" w:lineRule="atLeast"/>
        <w:rPr>
          <w:rStyle w:val="Notaapie"/>
          <w:rFonts w:ascii="Garamond" w:hAnsi="Garamond"/>
          <w:i/>
          <w:iCs/>
          <w:sz w:val="28"/>
          <w:szCs w:val="28"/>
          <w:lang w:val="es-CL"/>
        </w:rPr>
      </w:pPr>
      <w:r>
        <w:rPr>
          <w:rStyle w:val="Notaapie"/>
          <w:rFonts w:ascii="Garamond" w:hAnsi="Garamond"/>
          <w:sz w:val="28"/>
          <w:szCs w:val="28"/>
          <w:lang w:val="es-CL"/>
        </w:rPr>
        <w:tab/>
      </w:r>
      <w:r>
        <w:rPr>
          <w:rStyle w:val="Notaapie"/>
          <w:rFonts w:ascii="Garamond" w:hAnsi="Garamond"/>
          <w:sz w:val="28"/>
          <w:szCs w:val="28"/>
          <w:lang w:val="es-CL"/>
        </w:rPr>
        <w:tab/>
      </w:r>
      <w:r w:rsidR="00431EAE" w:rsidRPr="00BC2647">
        <w:rPr>
          <w:rStyle w:val="Notaapie"/>
          <w:rFonts w:ascii="Garamond" w:hAnsi="Garamond"/>
          <w:sz w:val="28"/>
          <w:szCs w:val="28"/>
          <w:lang w:val="es-CL"/>
        </w:rPr>
        <w:t xml:space="preserve">La única excepción </w:t>
      </w:r>
      <w:r w:rsidR="00BC2647">
        <w:rPr>
          <w:rStyle w:val="Notaapie"/>
          <w:rFonts w:ascii="Garamond" w:hAnsi="Garamond"/>
          <w:sz w:val="28"/>
          <w:szCs w:val="28"/>
          <w:lang w:val="es-CL"/>
        </w:rPr>
        <w:t xml:space="preserve">que se justifica es lo que acontece </w:t>
      </w:r>
      <w:r w:rsidR="00431EAE" w:rsidRPr="00BC2647">
        <w:rPr>
          <w:rStyle w:val="Notaapie"/>
          <w:rFonts w:ascii="Garamond" w:hAnsi="Garamond"/>
          <w:sz w:val="28"/>
          <w:szCs w:val="28"/>
          <w:lang w:val="es-CL"/>
        </w:rPr>
        <w:t>en el proceso penal. Para dicho ámbito el artículo 19 Nº 3 inc. 4º de la</w:t>
      </w:r>
      <w:r w:rsidR="00BC2647">
        <w:rPr>
          <w:rStyle w:val="Notaapie"/>
          <w:rFonts w:ascii="Garamond" w:hAnsi="Garamond"/>
          <w:sz w:val="28"/>
          <w:szCs w:val="28"/>
          <w:lang w:val="es-CL"/>
        </w:rPr>
        <w:t xml:space="preserve"> </w:t>
      </w:r>
      <w:r w:rsidR="00AC319D">
        <w:rPr>
          <w:rStyle w:val="Notaapie"/>
          <w:rFonts w:ascii="Garamond" w:hAnsi="Garamond"/>
          <w:sz w:val="28"/>
          <w:szCs w:val="28"/>
          <w:lang w:val="es-CL"/>
        </w:rPr>
        <w:t xml:space="preserve">actual </w:t>
      </w:r>
      <w:r w:rsidR="00AC319D" w:rsidRPr="00BC2647">
        <w:rPr>
          <w:rStyle w:val="Notaapie"/>
          <w:rFonts w:ascii="Garamond" w:hAnsi="Garamond"/>
          <w:sz w:val="28"/>
          <w:szCs w:val="28"/>
          <w:lang w:val="es-CL"/>
        </w:rPr>
        <w:t>CPR</w:t>
      </w:r>
      <w:r w:rsidR="00431EAE" w:rsidRPr="00BC2647">
        <w:rPr>
          <w:rStyle w:val="Notaapie"/>
          <w:rFonts w:ascii="Garamond" w:hAnsi="Garamond"/>
          <w:sz w:val="28"/>
          <w:szCs w:val="28"/>
          <w:lang w:val="es-CL"/>
        </w:rPr>
        <w:t xml:space="preserve"> establece que </w:t>
      </w:r>
      <w:r w:rsidR="00431EAE" w:rsidRPr="00BC2647">
        <w:rPr>
          <w:rStyle w:val="Notaapie"/>
          <w:rFonts w:ascii="Garamond" w:hAnsi="Garamond"/>
          <w:i/>
          <w:iCs/>
          <w:sz w:val="28"/>
          <w:szCs w:val="28"/>
          <w:lang w:val="es-CL"/>
        </w:rPr>
        <w:t xml:space="preserve">“nadie puede ser juzgado por comisiones especiales, sino por el tribunal que le señalare la ley y que se hallare establecido con anterioridad a la perpetración del hecho”. </w:t>
      </w:r>
    </w:p>
    <w:p w14:paraId="2E4AF247" w14:textId="4691F5FD" w:rsidR="009A14B8" w:rsidRPr="00BC2647" w:rsidRDefault="009A14B8" w:rsidP="009A14B8">
      <w:pPr>
        <w:spacing w:before="120" w:after="120"/>
        <w:ind w:left="705" w:hanging="705"/>
        <w:jc w:val="both"/>
        <w:rPr>
          <w:rFonts w:ascii="Garamond" w:hAnsi="Garamond"/>
          <w:sz w:val="28"/>
          <w:szCs w:val="28"/>
        </w:rPr>
      </w:pPr>
      <w:r>
        <w:rPr>
          <w:rStyle w:val="Notaapie"/>
          <w:rFonts w:ascii="Garamond" w:hAnsi="Garamond"/>
          <w:b/>
          <w:bCs/>
          <w:smallCaps/>
          <w:sz w:val="28"/>
          <w:szCs w:val="28"/>
          <w:lang w:val="es-CL"/>
        </w:rPr>
        <w:t>2</w:t>
      </w:r>
      <w:r w:rsidRPr="009A14B8">
        <w:rPr>
          <w:rStyle w:val="Notaapie"/>
          <w:rFonts w:ascii="Garamond" w:hAnsi="Garamond"/>
          <w:b/>
          <w:bCs/>
          <w:smallCaps/>
          <w:sz w:val="28"/>
          <w:szCs w:val="28"/>
          <w:lang w:val="es-CL"/>
        </w:rPr>
        <w:t xml:space="preserve">.  </w:t>
      </w:r>
      <w:r w:rsidRPr="009A14B8">
        <w:rPr>
          <w:rStyle w:val="Notaapie"/>
          <w:rFonts w:ascii="Garamond" w:hAnsi="Garamond"/>
          <w:b/>
          <w:bCs/>
          <w:smallCaps/>
          <w:sz w:val="28"/>
          <w:szCs w:val="28"/>
          <w:lang w:val="es-CL"/>
        </w:rPr>
        <w:tab/>
        <w:t>En</w:t>
      </w:r>
      <w:r>
        <w:rPr>
          <w:rStyle w:val="Notaapie"/>
          <w:rFonts w:ascii="Garamond" w:hAnsi="Garamond"/>
          <w:b/>
          <w:bCs/>
          <w:smallCaps/>
          <w:sz w:val="28"/>
          <w:szCs w:val="28"/>
          <w:lang w:val="es-CL"/>
        </w:rPr>
        <w:t xml:space="preserve"> el sistema de</w:t>
      </w:r>
      <w:r w:rsidRPr="009A14B8">
        <w:rPr>
          <w:rStyle w:val="Notaapie"/>
          <w:rFonts w:ascii="Garamond" w:hAnsi="Garamond"/>
          <w:b/>
          <w:bCs/>
          <w:smallCaps/>
          <w:sz w:val="28"/>
          <w:szCs w:val="28"/>
          <w:lang w:val="es-CL"/>
        </w:rPr>
        <w:t xml:space="preserve"> </w:t>
      </w:r>
      <w:r>
        <w:rPr>
          <w:rStyle w:val="Notaapie"/>
          <w:rFonts w:ascii="Garamond" w:hAnsi="Garamond"/>
          <w:b/>
          <w:bCs/>
          <w:smallCaps/>
          <w:sz w:val="28"/>
          <w:szCs w:val="28"/>
          <w:lang w:val="es-CL"/>
        </w:rPr>
        <w:t xml:space="preserve">fuentes </w:t>
      </w:r>
    </w:p>
    <w:p w14:paraId="0B908191" w14:textId="6F684D6F" w:rsidR="009A14B8" w:rsidRPr="00BC2647" w:rsidRDefault="009A14B8" w:rsidP="009A14B8">
      <w:pPr>
        <w:jc w:val="both"/>
        <w:rPr>
          <w:rFonts w:ascii="Garamond" w:hAnsi="Garamond"/>
          <w:i/>
          <w:iCs/>
          <w:sz w:val="28"/>
          <w:szCs w:val="28"/>
        </w:rPr>
      </w:pPr>
      <w:r>
        <w:rPr>
          <w:rFonts w:ascii="Garamond" w:hAnsi="Garamond"/>
          <w:sz w:val="28"/>
          <w:szCs w:val="28"/>
        </w:rPr>
        <w:t xml:space="preserve">El art. 153 numeral 2 dispone: </w:t>
      </w:r>
      <w:r w:rsidRPr="00BC2647">
        <w:rPr>
          <w:rFonts w:ascii="Garamond" w:hAnsi="Garamond"/>
          <w:i/>
          <w:iCs/>
          <w:sz w:val="28"/>
          <w:szCs w:val="28"/>
        </w:rPr>
        <w:t xml:space="preserve">2. Los jueces se sujetarán a la Constitución y a la ley y no podrán en caso alguno ejercer potestades de otros poderes públicos. </w:t>
      </w:r>
    </w:p>
    <w:p w14:paraId="4497DF48" w14:textId="26425634" w:rsidR="009A14B8" w:rsidRDefault="009A14B8" w:rsidP="009A14B8">
      <w:pPr>
        <w:jc w:val="both"/>
        <w:rPr>
          <w:rFonts w:ascii="Garamond" w:hAnsi="Garamond"/>
          <w:sz w:val="28"/>
          <w:szCs w:val="28"/>
        </w:rPr>
      </w:pPr>
      <w:r w:rsidRPr="009A14B8">
        <w:rPr>
          <w:rFonts w:ascii="Garamond" w:hAnsi="Garamond"/>
          <w:sz w:val="28"/>
          <w:szCs w:val="28"/>
        </w:rPr>
        <w:t xml:space="preserve">No queda claro </w:t>
      </w:r>
      <w:r>
        <w:rPr>
          <w:rFonts w:ascii="Garamond" w:hAnsi="Garamond"/>
          <w:sz w:val="28"/>
          <w:szCs w:val="28"/>
        </w:rPr>
        <w:t xml:space="preserve">el sentido de esta norma, que es redundante. Cuando los jueces no se sujetan a la Constitución, en ese país no hay Estado de Derecho… </w:t>
      </w:r>
    </w:p>
    <w:p w14:paraId="4139DA8A" w14:textId="77777777" w:rsidR="006D0DEC" w:rsidRDefault="009A14B8" w:rsidP="006D0DEC">
      <w:pPr>
        <w:jc w:val="both"/>
        <w:rPr>
          <w:rFonts w:ascii="Garamond" w:hAnsi="Garamond"/>
          <w:sz w:val="28"/>
          <w:szCs w:val="28"/>
        </w:rPr>
      </w:pPr>
      <w:r>
        <w:rPr>
          <w:rFonts w:ascii="Garamond" w:hAnsi="Garamond"/>
          <w:sz w:val="28"/>
          <w:szCs w:val="28"/>
        </w:rPr>
        <w:lastRenderedPageBreak/>
        <w:t xml:space="preserve">La norma puede provocar problemas en el sistema de fuentes, ya que podría llevar a </w:t>
      </w:r>
      <w:r w:rsidR="006D0DEC">
        <w:rPr>
          <w:rFonts w:ascii="Garamond" w:hAnsi="Garamond"/>
          <w:sz w:val="28"/>
          <w:szCs w:val="28"/>
        </w:rPr>
        <w:t>un retroceso que no es deseable.</w:t>
      </w:r>
    </w:p>
    <w:p w14:paraId="37C5D2FE" w14:textId="77777777" w:rsidR="002E13ED" w:rsidRPr="00A848D2" w:rsidRDefault="006D0DEC" w:rsidP="002E13ED">
      <w:pPr>
        <w:ind w:firstLine="708"/>
        <w:jc w:val="both"/>
        <w:rPr>
          <w:rStyle w:val="Notaapie"/>
          <w:rFonts w:ascii="Garamond" w:hAnsi="Garamond"/>
          <w:sz w:val="28"/>
          <w:szCs w:val="28"/>
          <w:lang w:val="es-CL"/>
        </w:rPr>
      </w:pPr>
      <w:r w:rsidRPr="006D0DEC">
        <w:rPr>
          <w:rFonts w:ascii="Garamond" w:hAnsi="Garamond"/>
          <w:sz w:val="28"/>
          <w:szCs w:val="28"/>
        </w:rPr>
        <w:t xml:space="preserve">Para nuestra cultura jurídica es un hecho que a la hora de impartir justicia nuestros jueces acuden a distintas fuentes. La determinación </w:t>
      </w:r>
      <w:r w:rsidRPr="006D0DEC">
        <w:rPr>
          <w:rStyle w:val="Notaapie"/>
          <w:rFonts w:ascii="Garamond" w:hAnsi="Garamond"/>
          <w:sz w:val="28"/>
          <w:szCs w:val="28"/>
          <w:lang w:val="es-CL"/>
        </w:rPr>
        <w:t xml:space="preserve">de lo </w:t>
      </w:r>
      <w:r w:rsidRPr="006D0DEC">
        <w:rPr>
          <w:rStyle w:val="Notaapie"/>
          <w:rFonts w:ascii="Garamond" w:hAnsi="Garamond"/>
          <w:i/>
          <w:iCs/>
          <w:sz w:val="28"/>
          <w:szCs w:val="28"/>
          <w:lang w:val="es-CL"/>
        </w:rPr>
        <w:t>que es debido a otro,</w:t>
      </w:r>
      <w:r w:rsidRPr="006D0DEC">
        <w:rPr>
          <w:rStyle w:val="Notaapie"/>
          <w:rFonts w:ascii="Garamond" w:hAnsi="Garamond"/>
          <w:sz w:val="28"/>
          <w:szCs w:val="28"/>
          <w:lang w:val="es-CL"/>
        </w:rPr>
        <w:t xml:space="preserve"> junto a ley, también </w:t>
      </w:r>
      <w:r w:rsidRPr="00A848D2">
        <w:rPr>
          <w:rStyle w:val="Notaapie"/>
          <w:rFonts w:ascii="Garamond" w:hAnsi="Garamond"/>
          <w:sz w:val="28"/>
          <w:szCs w:val="28"/>
          <w:lang w:val="es-CL"/>
        </w:rPr>
        <w:t xml:space="preserve">concurren la equidad, la doctrina científica, la costumbre, la jurisprudencia y los principios generales del derecho. Esto ha significado un gran avance jurídico y ha permitido renovar en muchos aspectos nuestro Sistema jurídico. </w:t>
      </w:r>
    </w:p>
    <w:p w14:paraId="117F9284" w14:textId="59B2C10E" w:rsidR="002E13ED" w:rsidRPr="00A848D2" w:rsidRDefault="002E13ED" w:rsidP="002E13ED">
      <w:pPr>
        <w:ind w:firstLine="708"/>
        <w:jc w:val="both"/>
        <w:rPr>
          <w:rStyle w:val="Notaapie"/>
          <w:rFonts w:ascii="Garamond" w:hAnsi="Garamond"/>
          <w:sz w:val="28"/>
          <w:szCs w:val="28"/>
          <w:lang w:val="es-ES"/>
        </w:rPr>
      </w:pPr>
      <w:r w:rsidRPr="00A848D2">
        <w:rPr>
          <w:rStyle w:val="Notaapie"/>
          <w:rFonts w:ascii="Garamond" w:hAnsi="Garamond"/>
          <w:sz w:val="28"/>
          <w:szCs w:val="28"/>
          <w:lang w:val="es-ES"/>
        </w:rPr>
        <w:t xml:space="preserve">Aunque los ejemplos que se podrían citar aquí son variados, </w:t>
      </w:r>
      <w:r w:rsidR="006D147F" w:rsidRPr="00A848D2">
        <w:rPr>
          <w:rStyle w:val="Notaapie"/>
          <w:rFonts w:ascii="Garamond" w:hAnsi="Garamond"/>
          <w:sz w:val="28"/>
          <w:szCs w:val="28"/>
          <w:lang w:val="es-ES"/>
        </w:rPr>
        <w:t>menciono</w:t>
      </w:r>
      <w:r w:rsidRPr="00A848D2">
        <w:rPr>
          <w:rStyle w:val="Notaapie"/>
          <w:rFonts w:ascii="Garamond" w:hAnsi="Garamond"/>
          <w:sz w:val="28"/>
          <w:szCs w:val="28"/>
          <w:lang w:val="es-ES"/>
        </w:rPr>
        <w:t xml:space="preserve"> algunos que con esta norma jamás habrían podido surgir: </w:t>
      </w:r>
    </w:p>
    <w:p w14:paraId="41925201" w14:textId="77777777" w:rsidR="002E13ED" w:rsidRPr="00A848D2" w:rsidRDefault="002E13ED" w:rsidP="002E13ED">
      <w:pPr>
        <w:ind w:firstLine="708"/>
        <w:jc w:val="both"/>
        <w:rPr>
          <w:rStyle w:val="Notaapie"/>
          <w:rFonts w:ascii="Garamond" w:hAnsi="Garamond"/>
          <w:sz w:val="28"/>
          <w:szCs w:val="28"/>
          <w:lang w:val="es-ES"/>
        </w:rPr>
      </w:pPr>
      <w:r w:rsidRPr="00A848D2">
        <w:rPr>
          <w:rStyle w:val="Notaapie"/>
          <w:rFonts w:ascii="Garamond" w:hAnsi="Garamond"/>
          <w:sz w:val="28"/>
          <w:szCs w:val="28"/>
          <w:lang w:val="es-ES"/>
        </w:rPr>
        <w:t xml:space="preserve">- La tercería de posesión, surgida como una creación jurisprudencial. Sólo en 1988 fue introducida al Código de Procedimiento Civil, por la Ley N° 18.705, del 24 de mayo de 1988. </w:t>
      </w:r>
    </w:p>
    <w:p w14:paraId="5131E69B" w14:textId="77777777" w:rsidR="002E13ED" w:rsidRPr="00A848D2" w:rsidRDefault="002E13ED" w:rsidP="002E13ED">
      <w:pPr>
        <w:ind w:firstLine="708"/>
        <w:jc w:val="both"/>
        <w:rPr>
          <w:rStyle w:val="Notaapie"/>
          <w:rFonts w:ascii="Garamond" w:hAnsi="Garamond"/>
          <w:sz w:val="28"/>
          <w:szCs w:val="28"/>
          <w:lang w:val="es-ES"/>
        </w:rPr>
      </w:pPr>
      <w:r w:rsidRPr="00A848D2">
        <w:rPr>
          <w:rStyle w:val="Notaapie"/>
          <w:rFonts w:ascii="Garamond" w:hAnsi="Garamond"/>
          <w:sz w:val="28"/>
          <w:szCs w:val="28"/>
          <w:lang w:val="es-ES"/>
        </w:rPr>
        <w:t>- La regulación de los principios que limitan la nulidad procesal (actual art. 83 CPC), que fueron fraguados por la jurisprudencia y luego recogido en la ley.</w:t>
      </w:r>
    </w:p>
    <w:p w14:paraId="7D53077A" w14:textId="77777777" w:rsidR="002E13ED" w:rsidRPr="00A848D2" w:rsidRDefault="002E13ED" w:rsidP="002E13ED">
      <w:pPr>
        <w:ind w:firstLine="708"/>
        <w:jc w:val="both"/>
        <w:rPr>
          <w:rFonts w:ascii="Garamond" w:hAnsi="Garamond"/>
          <w:sz w:val="28"/>
          <w:szCs w:val="28"/>
          <w:lang w:val="es-ES"/>
        </w:rPr>
      </w:pPr>
      <w:r w:rsidRPr="00A848D2">
        <w:rPr>
          <w:rStyle w:val="Notaapie"/>
          <w:rFonts w:ascii="Garamond" w:hAnsi="Garamond"/>
          <w:sz w:val="28"/>
          <w:szCs w:val="28"/>
          <w:lang w:val="es-ES"/>
        </w:rPr>
        <w:t xml:space="preserve">- La incorporación de la denominada </w:t>
      </w:r>
      <w:r w:rsidRPr="00A848D2">
        <w:rPr>
          <w:rStyle w:val="Notaapie"/>
          <w:rFonts w:ascii="Garamond" w:hAnsi="Garamond"/>
          <w:i/>
          <w:sz w:val="28"/>
          <w:szCs w:val="28"/>
          <w:lang w:val="es-ES"/>
        </w:rPr>
        <w:t xml:space="preserve">doctrina de los actos propios, </w:t>
      </w:r>
      <w:r w:rsidRPr="00A848D2">
        <w:rPr>
          <w:rStyle w:val="Notaapie"/>
          <w:rFonts w:ascii="Garamond" w:hAnsi="Garamond"/>
          <w:sz w:val="28"/>
          <w:szCs w:val="28"/>
          <w:lang w:val="es-ES"/>
        </w:rPr>
        <w:t xml:space="preserve">admitida en nuestra jurisprudencia civil por la sentencia de la </w:t>
      </w:r>
      <w:r w:rsidRPr="00A848D2">
        <w:rPr>
          <w:rFonts w:ascii="Garamond" w:hAnsi="Garamond"/>
          <w:sz w:val="28"/>
          <w:szCs w:val="28"/>
          <w:lang w:val="es-ES"/>
        </w:rPr>
        <w:t>Corte Suprema, de 9 de mayo de 2001, y recién recogido a nivel legal en la regulación de la Ley de Tramitación Electrónica, varios años después.</w:t>
      </w:r>
    </w:p>
    <w:p w14:paraId="502D1925" w14:textId="77777777" w:rsidR="002E13ED" w:rsidRPr="00A848D2" w:rsidRDefault="002E13ED" w:rsidP="002E13ED">
      <w:pPr>
        <w:ind w:firstLine="708"/>
        <w:jc w:val="both"/>
        <w:rPr>
          <w:rStyle w:val="Notaapie"/>
          <w:rFonts w:ascii="Garamond" w:hAnsi="Garamond"/>
          <w:sz w:val="28"/>
          <w:szCs w:val="28"/>
          <w:lang w:val="es-ES"/>
        </w:rPr>
      </w:pPr>
      <w:r w:rsidRPr="00A848D2">
        <w:rPr>
          <w:rFonts w:ascii="Garamond" w:hAnsi="Garamond"/>
          <w:sz w:val="28"/>
          <w:szCs w:val="28"/>
          <w:lang w:val="es-ES"/>
        </w:rPr>
        <w:t xml:space="preserve">Dicho de otra forma, con este precepto legal se cierne sobre nuestro sistema jurídico la obsolescencia del dogma legalista, que ha querido ver en la ley la única </w:t>
      </w:r>
      <w:r w:rsidRPr="00A848D2">
        <w:rPr>
          <w:rStyle w:val="Notaapie"/>
          <w:rFonts w:ascii="Garamond" w:hAnsi="Garamond"/>
          <w:sz w:val="28"/>
          <w:szCs w:val="28"/>
          <w:lang w:val="es-ES"/>
        </w:rPr>
        <w:t>fuente del Derecho.</w:t>
      </w:r>
    </w:p>
    <w:p w14:paraId="6EC37DEC" w14:textId="77777777" w:rsidR="002E13ED" w:rsidRPr="00A848D2" w:rsidRDefault="002E13ED" w:rsidP="002E13ED">
      <w:pPr>
        <w:ind w:firstLine="708"/>
        <w:jc w:val="both"/>
        <w:rPr>
          <w:rStyle w:val="Notaapie"/>
          <w:rFonts w:ascii="Garamond" w:hAnsi="Garamond"/>
          <w:sz w:val="28"/>
          <w:szCs w:val="28"/>
          <w:lang w:val="es-ES"/>
        </w:rPr>
      </w:pPr>
      <w:r w:rsidRPr="00A848D2">
        <w:rPr>
          <w:rStyle w:val="Notaapie"/>
          <w:rFonts w:ascii="Garamond" w:hAnsi="Garamond"/>
          <w:sz w:val="28"/>
          <w:szCs w:val="28"/>
          <w:lang w:val="es-ES"/>
        </w:rPr>
        <w:t>La propuesta constitucional olvida que el</w:t>
      </w:r>
      <w:r w:rsidRPr="00A848D2">
        <w:rPr>
          <w:rStyle w:val="Notaapie"/>
          <w:rFonts w:ascii="Garamond" w:hAnsi="Garamond"/>
          <w:smallCaps/>
          <w:sz w:val="28"/>
          <w:szCs w:val="28"/>
          <w:lang w:val="es-ES"/>
        </w:rPr>
        <w:t xml:space="preserve"> D</w:t>
      </w:r>
      <w:r w:rsidRPr="00A848D2">
        <w:rPr>
          <w:rStyle w:val="Notaapie"/>
          <w:rFonts w:ascii="Garamond" w:hAnsi="Garamond"/>
          <w:sz w:val="28"/>
          <w:szCs w:val="28"/>
          <w:lang w:val="es-ES"/>
        </w:rPr>
        <w:t>erecho es un fenómeno plural, que no se agota sólo en el dato normativo legal ni en el constitucional.</w:t>
      </w:r>
    </w:p>
    <w:p w14:paraId="7DA3E433" w14:textId="7ED2E868" w:rsidR="002E13ED" w:rsidRPr="00A848D2" w:rsidRDefault="002E13ED" w:rsidP="002E13ED">
      <w:pPr>
        <w:ind w:firstLine="708"/>
        <w:jc w:val="both"/>
        <w:rPr>
          <w:rStyle w:val="Notaapie"/>
          <w:rFonts w:ascii="Garamond" w:hAnsi="Garamond"/>
          <w:sz w:val="28"/>
          <w:szCs w:val="28"/>
          <w:lang w:val="es-ES"/>
        </w:rPr>
      </w:pPr>
      <w:r w:rsidRPr="00A848D2">
        <w:rPr>
          <w:rStyle w:val="Notaapie"/>
          <w:rFonts w:ascii="Garamond" w:hAnsi="Garamond"/>
          <w:sz w:val="28"/>
          <w:szCs w:val="28"/>
          <w:lang w:val="es-ES"/>
        </w:rPr>
        <w:t>Como bien lo advierte Helmut Coing: "...ningún ordenamiento jurídico se deriva de principios abstractos. Ningún ordenamiento jurídico es un sistema lógico-matemático. Las instituciones jurídicas se basan, más bien, de múltiples modos, en la experiencia. No sin razón decimos a este respecto que una determinada regulación se ha acreditado o no se ha acreditado en la práctica. Por experiencia se sabe, desde antiguo, que no toda regulación legal consigue su objetivo, y sería interesante el investigar de una vez, a base de muchos ejemplos, si la aplicación de las leyes, y en particular de los códigos, ha correspondido a las intenciones que tenía el legislador”</w:t>
      </w:r>
      <w:r w:rsidR="00DB5A2B">
        <w:rPr>
          <w:rStyle w:val="Notaapie"/>
          <w:rFonts w:ascii="Garamond" w:hAnsi="Garamond"/>
          <w:sz w:val="28"/>
          <w:szCs w:val="28"/>
          <w:lang w:val="es-ES"/>
        </w:rPr>
        <w:t xml:space="preserve"> (</w:t>
      </w:r>
      <w:r w:rsidR="004C5E67" w:rsidRPr="004C5E67">
        <w:rPr>
          <w:rStyle w:val="Notaapie"/>
          <w:rFonts w:ascii="Garamond" w:hAnsi="Garamond"/>
          <w:sz w:val="28"/>
          <w:szCs w:val="28"/>
          <w:lang w:val="es-ES"/>
        </w:rPr>
        <w:t xml:space="preserve">COING, Helmut, "Historia del Derecho y </w:t>
      </w:r>
      <w:r w:rsidR="004C5E67" w:rsidRPr="004C5E67">
        <w:rPr>
          <w:rStyle w:val="Notaapie"/>
          <w:rFonts w:ascii="Garamond" w:hAnsi="Garamond"/>
          <w:sz w:val="28"/>
          <w:szCs w:val="28"/>
          <w:lang w:val="es-ES"/>
        </w:rPr>
        <w:lastRenderedPageBreak/>
        <w:t>Dogmática Jurídica”, en REHJ, Valparaíso, Ediciones Universitarias de Valparaíso, t. VI, 1981, p. 115</w:t>
      </w:r>
      <w:r w:rsidR="00DB5A2B">
        <w:rPr>
          <w:rStyle w:val="Notaapie"/>
          <w:rFonts w:ascii="Garamond" w:hAnsi="Garamond"/>
          <w:sz w:val="28"/>
          <w:szCs w:val="28"/>
          <w:lang w:val="es-ES"/>
        </w:rPr>
        <w:t>)</w:t>
      </w:r>
      <w:r w:rsidR="004C5E67" w:rsidRPr="004C5E67">
        <w:rPr>
          <w:rStyle w:val="Notaapie"/>
          <w:rFonts w:ascii="Garamond" w:hAnsi="Garamond"/>
          <w:sz w:val="28"/>
          <w:szCs w:val="28"/>
          <w:lang w:val="es-ES"/>
        </w:rPr>
        <w:t>.</w:t>
      </w:r>
    </w:p>
    <w:p w14:paraId="708C953D" w14:textId="77777777" w:rsidR="002E13ED" w:rsidRDefault="002E13ED" w:rsidP="002E13ED">
      <w:pPr>
        <w:ind w:firstLine="708"/>
        <w:jc w:val="both"/>
        <w:rPr>
          <w:rStyle w:val="Notaapie"/>
          <w:rFonts w:ascii="Garamond" w:hAnsi="Garamond"/>
          <w:sz w:val="28"/>
          <w:szCs w:val="28"/>
          <w:lang w:val="es-ES"/>
        </w:rPr>
      </w:pPr>
      <w:r w:rsidRPr="00A848D2">
        <w:rPr>
          <w:rStyle w:val="Notaapie"/>
          <w:rFonts w:ascii="Garamond" w:hAnsi="Garamond"/>
          <w:sz w:val="28"/>
          <w:szCs w:val="28"/>
          <w:lang w:val="es-ES"/>
        </w:rPr>
        <w:t xml:space="preserve">Me ahorra mayores explicaciones invitar a la lectura de un interesante trabajo publicado en 1991, bajo el sugerente título: </w:t>
      </w:r>
      <w:r w:rsidRPr="00A848D2">
        <w:rPr>
          <w:rStyle w:val="Notaapie"/>
          <w:rFonts w:ascii="Garamond" w:hAnsi="Garamond"/>
          <w:i/>
          <w:sz w:val="28"/>
          <w:szCs w:val="28"/>
          <w:lang w:val="es-ES"/>
        </w:rPr>
        <w:t>Lo que la jurisprudencia se llevó</w:t>
      </w:r>
      <w:r w:rsidRPr="00A848D2">
        <w:rPr>
          <w:rStyle w:val="Notaapie"/>
          <w:rFonts w:ascii="Garamond" w:hAnsi="Garamond"/>
          <w:sz w:val="28"/>
          <w:szCs w:val="28"/>
          <w:lang w:val="es-ES"/>
        </w:rPr>
        <w:t>, donde don Ramón Domínguez Benavente y Carmen Domínguez Hidalgo, explican, con muy buenos ejemplos, la relevancia que ha tenido la jurisprudencia en la aplicación práctica e innovadora de nuestro sistema judicial, que este precepto amenaza con limitar.</w:t>
      </w:r>
    </w:p>
    <w:p w14:paraId="6FBC9BB5" w14:textId="77777777" w:rsidR="00583CA9" w:rsidRDefault="00F100CD" w:rsidP="002E13ED">
      <w:pPr>
        <w:ind w:firstLine="708"/>
        <w:jc w:val="both"/>
        <w:rPr>
          <w:rFonts w:ascii="Garamond" w:hAnsi="Garamond"/>
          <w:i/>
          <w:iCs/>
          <w:sz w:val="28"/>
          <w:szCs w:val="28"/>
        </w:rPr>
      </w:pPr>
      <w:r>
        <w:rPr>
          <w:rStyle w:val="Notaapie"/>
          <w:rFonts w:ascii="Garamond" w:hAnsi="Garamond"/>
          <w:sz w:val="28"/>
          <w:szCs w:val="28"/>
          <w:lang w:val="es-ES"/>
        </w:rPr>
        <w:t>Creo que es de justicia reivindicar la norma legada por nuestra tradición con</w:t>
      </w:r>
      <w:r w:rsidR="00E966F4">
        <w:rPr>
          <w:rStyle w:val="Notaapie"/>
          <w:rFonts w:ascii="Garamond" w:hAnsi="Garamond"/>
          <w:sz w:val="28"/>
          <w:szCs w:val="28"/>
          <w:lang w:val="es-ES"/>
        </w:rPr>
        <w:t>s</w:t>
      </w:r>
      <w:r>
        <w:rPr>
          <w:rStyle w:val="Notaapie"/>
          <w:rFonts w:ascii="Garamond" w:hAnsi="Garamond"/>
          <w:sz w:val="28"/>
          <w:szCs w:val="28"/>
          <w:lang w:val="es-ES"/>
        </w:rPr>
        <w:t xml:space="preserve">titucional, que de manera simple y exacta ha </w:t>
      </w:r>
      <w:r w:rsidR="00E966F4">
        <w:rPr>
          <w:rStyle w:val="Notaapie"/>
          <w:rFonts w:ascii="Garamond" w:hAnsi="Garamond"/>
          <w:sz w:val="28"/>
          <w:szCs w:val="28"/>
          <w:lang w:val="es-ES"/>
        </w:rPr>
        <w:t xml:space="preserve">sentado que:  </w:t>
      </w:r>
      <w:r w:rsidR="00E966F4" w:rsidRPr="00E966F4">
        <w:rPr>
          <w:rStyle w:val="Notaapie"/>
          <w:rFonts w:ascii="Garamond" w:hAnsi="Garamond"/>
          <w:i/>
          <w:iCs/>
          <w:sz w:val="28"/>
          <w:szCs w:val="28"/>
          <w:lang w:val="es-ES"/>
        </w:rPr>
        <w:t>l</w:t>
      </w:r>
      <w:r w:rsidR="00E966F4" w:rsidRPr="00E966F4">
        <w:rPr>
          <w:rFonts w:ascii="Garamond" w:hAnsi="Garamond"/>
          <w:i/>
          <w:iCs/>
          <w:sz w:val="28"/>
          <w:szCs w:val="28"/>
        </w:rPr>
        <w:t xml:space="preserve">a </w:t>
      </w:r>
      <w:r w:rsidR="00E966F4" w:rsidRPr="00BC2647">
        <w:rPr>
          <w:rFonts w:ascii="Garamond" w:hAnsi="Garamond"/>
          <w:i/>
          <w:iCs/>
          <w:sz w:val="28"/>
          <w:szCs w:val="28"/>
        </w:rPr>
        <w:t xml:space="preserve">facultad de conocer de las causas civiles y criminales, de resolverlas y de hacer ejecutar lo juzgado, pertenece exclusivamente a los tribunales establecidos por la ley. </w:t>
      </w:r>
    </w:p>
    <w:p w14:paraId="3AE622A4" w14:textId="284B6709" w:rsidR="00E966F4" w:rsidRDefault="00413129" w:rsidP="002E13ED">
      <w:pPr>
        <w:ind w:firstLine="708"/>
        <w:jc w:val="both"/>
        <w:rPr>
          <w:rStyle w:val="Notaapie"/>
          <w:rFonts w:ascii="Garamond" w:hAnsi="Garamond"/>
          <w:sz w:val="28"/>
          <w:szCs w:val="28"/>
          <w:lang w:val="es-ES"/>
        </w:rPr>
      </w:pPr>
      <w:r>
        <w:rPr>
          <w:rStyle w:val="Notaapie"/>
          <w:rFonts w:ascii="Garamond" w:hAnsi="Garamond"/>
          <w:sz w:val="28"/>
          <w:szCs w:val="28"/>
          <w:lang w:val="es-ES"/>
        </w:rPr>
        <w:t>Como se puede apreciar, el precepto no genera ninguna de las dificultades que acabo de indicar.</w:t>
      </w:r>
    </w:p>
    <w:p w14:paraId="7804FEEA" w14:textId="77777777" w:rsidR="00FD5911" w:rsidRDefault="00413129" w:rsidP="002E13ED">
      <w:pPr>
        <w:ind w:firstLine="708"/>
        <w:jc w:val="both"/>
        <w:rPr>
          <w:rStyle w:val="Notaapie"/>
          <w:rFonts w:ascii="Garamond" w:hAnsi="Garamond"/>
          <w:sz w:val="28"/>
          <w:szCs w:val="28"/>
          <w:lang w:val="es-ES"/>
        </w:rPr>
      </w:pPr>
      <w:r>
        <w:rPr>
          <w:rStyle w:val="Notaapie"/>
          <w:rFonts w:ascii="Garamond" w:hAnsi="Garamond"/>
          <w:sz w:val="28"/>
          <w:szCs w:val="28"/>
          <w:lang w:val="es-ES"/>
        </w:rPr>
        <w:t xml:space="preserve">Tema diverso es </w:t>
      </w:r>
      <w:r w:rsidR="00451EE2">
        <w:rPr>
          <w:rStyle w:val="Notaapie"/>
          <w:rFonts w:ascii="Garamond" w:hAnsi="Garamond"/>
          <w:sz w:val="28"/>
          <w:szCs w:val="28"/>
          <w:lang w:val="es-ES"/>
        </w:rPr>
        <w:t xml:space="preserve">el sistema de impugnación </w:t>
      </w:r>
      <w:r w:rsidR="002D7445">
        <w:rPr>
          <w:rStyle w:val="Notaapie"/>
          <w:rFonts w:ascii="Garamond" w:hAnsi="Garamond"/>
          <w:sz w:val="28"/>
          <w:szCs w:val="28"/>
          <w:lang w:val="es-ES"/>
        </w:rPr>
        <w:t>frente a decisiones erróneas que pueden imp</w:t>
      </w:r>
      <w:r w:rsidR="00FD5911">
        <w:rPr>
          <w:rStyle w:val="Notaapie"/>
          <w:rFonts w:ascii="Garamond" w:hAnsi="Garamond"/>
          <w:sz w:val="28"/>
          <w:szCs w:val="28"/>
          <w:lang w:val="es-ES"/>
        </w:rPr>
        <w:t>a</w:t>
      </w:r>
      <w:r w:rsidR="002D7445">
        <w:rPr>
          <w:rStyle w:val="Notaapie"/>
          <w:rFonts w:ascii="Garamond" w:hAnsi="Garamond"/>
          <w:sz w:val="28"/>
          <w:szCs w:val="28"/>
          <w:lang w:val="es-ES"/>
        </w:rPr>
        <w:t xml:space="preserve">rtir </w:t>
      </w:r>
      <w:r w:rsidR="00FD5911">
        <w:rPr>
          <w:rStyle w:val="Notaapie"/>
          <w:rFonts w:ascii="Garamond" w:hAnsi="Garamond"/>
          <w:sz w:val="28"/>
          <w:szCs w:val="28"/>
          <w:lang w:val="es-ES"/>
        </w:rPr>
        <w:t xml:space="preserve">un juez, pero ese tema debe quedar en el plano legal. </w:t>
      </w:r>
    </w:p>
    <w:p w14:paraId="7100B2B8" w14:textId="77777777" w:rsidR="00C97DB8" w:rsidRDefault="00FD5911" w:rsidP="00C97DB8">
      <w:pPr>
        <w:ind w:firstLine="708"/>
        <w:jc w:val="both"/>
        <w:rPr>
          <w:rStyle w:val="Notaapie"/>
          <w:rFonts w:ascii="Garamond" w:hAnsi="Garamond"/>
          <w:sz w:val="28"/>
          <w:szCs w:val="28"/>
          <w:lang w:val="es-ES"/>
        </w:rPr>
      </w:pPr>
      <w:r>
        <w:rPr>
          <w:rStyle w:val="Notaapie"/>
          <w:rFonts w:ascii="Garamond" w:hAnsi="Garamond"/>
          <w:sz w:val="28"/>
          <w:szCs w:val="28"/>
          <w:lang w:val="es-ES"/>
        </w:rPr>
        <w:t>La propuesta de esta regla claramente es excesiva y puede ser muy perjudicial para el funcionamiento del sistema judicial.</w:t>
      </w:r>
    </w:p>
    <w:p w14:paraId="14059B14" w14:textId="53D2294A" w:rsidR="009A14B8" w:rsidRPr="00BC2647" w:rsidRDefault="00C97DB8" w:rsidP="00C97DB8">
      <w:pPr>
        <w:ind w:firstLine="708"/>
        <w:jc w:val="both"/>
        <w:rPr>
          <w:rFonts w:ascii="Garamond" w:hAnsi="Garamond"/>
          <w:sz w:val="28"/>
          <w:szCs w:val="28"/>
        </w:rPr>
      </w:pPr>
      <w:r>
        <w:rPr>
          <w:rStyle w:val="Notaapie"/>
          <w:rFonts w:ascii="Garamond" w:hAnsi="Garamond"/>
          <w:sz w:val="28"/>
          <w:szCs w:val="28"/>
          <w:lang w:val="es-ES"/>
        </w:rPr>
        <w:t>En síntesis, e</w:t>
      </w:r>
      <w:r w:rsidR="009A14B8" w:rsidRPr="00BC2647">
        <w:rPr>
          <w:rFonts w:ascii="Garamond" w:hAnsi="Garamond"/>
          <w:sz w:val="28"/>
          <w:szCs w:val="28"/>
        </w:rPr>
        <w:t xml:space="preserve">l precepto propuesto es </w:t>
      </w:r>
      <w:r>
        <w:rPr>
          <w:rFonts w:ascii="Garamond" w:hAnsi="Garamond"/>
          <w:sz w:val="28"/>
          <w:szCs w:val="28"/>
        </w:rPr>
        <w:t xml:space="preserve">francamente </w:t>
      </w:r>
      <w:r w:rsidR="009A14B8" w:rsidRPr="00BC2647">
        <w:rPr>
          <w:rFonts w:ascii="Garamond" w:hAnsi="Garamond"/>
          <w:sz w:val="28"/>
          <w:szCs w:val="28"/>
        </w:rPr>
        <w:t xml:space="preserve">un retroceso, si se compara con la perfección técnica que tiene la actual norma, y que ha forma parte de la tradición constitucional chilena. </w:t>
      </w:r>
    </w:p>
    <w:p w14:paraId="3A5B0252" w14:textId="4904EA6D" w:rsidR="009A14B8" w:rsidRPr="00BC2647" w:rsidRDefault="00434042" w:rsidP="00434042">
      <w:pPr>
        <w:spacing w:before="120" w:after="120"/>
        <w:ind w:left="705" w:hanging="705"/>
        <w:jc w:val="both"/>
        <w:rPr>
          <w:rFonts w:ascii="Garamond" w:hAnsi="Garamond"/>
          <w:b/>
          <w:bCs/>
          <w:sz w:val="28"/>
          <w:szCs w:val="28"/>
        </w:rPr>
      </w:pPr>
      <w:r>
        <w:rPr>
          <w:rStyle w:val="Notaapie"/>
          <w:rFonts w:ascii="Garamond" w:hAnsi="Garamond"/>
          <w:b/>
          <w:bCs/>
          <w:smallCaps/>
          <w:sz w:val="28"/>
          <w:szCs w:val="28"/>
          <w:lang w:val="es-CL"/>
        </w:rPr>
        <w:t>3</w:t>
      </w:r>
      <w:r w:rsidR="00583CA9" w:rsidRPr="009A14B8">
        <w:rPr>
          <w:rStyle w:val="Notaapie"/>
          <w:rFonts w:ascii="Garamond" w:hAnsi="Garamond"/>
          <w:b/>
          <w:bCs/>
          <w:smallCaps/>
          <w:sz w:val="28"/>
          <w:szCs w:val="28"/>
          <w:lang w:val="es-CL"/>
        </w:rPr>
        <w:t xml:space="preserve">.  </w:t>
      </w:r>
      <w:r w:rsidR="00583CA9" w:rsidRPr="009A14B8">
        <w:rPr>
          <w:rStyle w:val="Notaapie"/>
          <w:rFonts w:ascii="Garamond" w:hAnsi="Garamond"/>
          <w:b/>
          <w:bCs/>
          <w:smallCaps/>
          <w:sz w:val="28"/>
          <w:szCs w:val="28"/>
          <w:lang w:val="es-CL"/>
        </w:rPr>
        <w:tab/>
      </w:r>
      <w:r w:rsidR="00583CA9">
        <w:rPr>
          <w:rStyle w:val="Notaapie"/>
          <w:rFonts w:ascii="Garamond" w:hAnsi="Garamond"/>
          <w:b/>
          <w:bCs/>
          <w:smallCaps/>
          <w:sz w:val="28"/>
          <w:szCs w:val="28"/>
          <w:lang w:val="es-CL"/>
        </w:rPr>
        <w:t>Se introduce una causal de impugnación de la actuación judicial</w:t>
      </w:r>
      <w:r>
        <w:rPr>
          <w:rStyle w:val="Notaapie"/>
          <w:rFonts w:ascii="Garamond" w:hAnsi="Garamond"/>
          <w:b/>
          <w:bCs/>
          <w:smallCaps/>
          <w:sz w:val="28"/>
          <w:szCs w:val="28"/>
          <w:lang w:val="es-CL"/>
        </w:rPr>
        <w:t xml:space="preserve"> subjetiva: la ecuanimidad</w:t>
      </w:r>
    </w:p>
    <w:p w14:paraId="2B36DFE4" w14:textId="2F042854" w:rsidR="009A14B8" w:rsidRPr="00BC2647" w:rsidRDefault="00F9114F" w:rsidP="006E4E93">
      <w:pPr>
        <w:ind w:firstLine="705"/>
        <w:jc w:val="both"/>
        <w:rPr>
          <w:rFonts w:ascii="Garamond" w:hAnsi="Garamond"/>
          <w:i/>
          <w:iCs/>
          <w:sz w:val="28"/>
          <w:szCs w:val="28"/>
        </w:rPr>
      </w:pPr>
      <w:r>
        <w:rPr>
          <w:rFonts w:ascii="Garamond" w:hAnsi="Garamond"/>
          <w:sz w:val="28"/>
          <w:szCs w:val="28"/>
        </w:rPr>
        <w:t>R</w:t>
      </w:r>
      <w:r w:rsidR="009A14B8" w:rsidRPr="00BC2647">
        <w:rPr>
          <w:rFonts w:ascii="Garamond" w:hAnsi="Garamond"/>
          <w:sz w:val="28"/>
          <w:szCs w:val="28"/>
        </w:rPr>
        <w:t xml:space="preserve">esulta altamente inconveniente en el art. 154 </w:t>
      </w:r>
      <w:r w:rsidR="006E4E93">
        <w:rPr>
          <w:rFonts w:ascii="Garamond" w:hAnsi="Garamond"/>
          <w:sz w:val="28"/>
          <w:szCs w:val="28"/>
        </w:rPr>
        <w:t>d</w:t>
      </w:r>
      <w:r w:rsidR="009A14B8" w:rsidRPr="00BC2647">
        <w:rPr>
          <w:rFonts w:ascii="Garamond" w:hAnsi="Garamond"/>
          <w:sz w:val="28"/>
          <w:szCs w:val="28"/>
        </w:rPr>
        <w:t xml:space="preserve">el Anteproyecto letra b), cuando al regular la garantía de la imparcialidad señala: </w:t>
      </w:r>
      <w:r w:rsidR="009A14B8" w:rsidRPr="00BC2647">
        <w:rPr>
          <w:rFonts w:ascii="Garamond" w:hAnsi="Garamond"/>
          <w:i/>
          <w:iCs/>
          <w:sz w:val="28"/>
          <w:szCs w:val="28"/>
        </w:rPr>
        <w:t>“Los jueces ejercerán sus funciones con ecuanimidad, resolviendo los asuntos que conocen sin sesgos, prejuicios ni discriminación alguna respecto de los intervinientes”.</w:t>
      </w:r>
    </w:p>
    <w:p w14:paraId="7337F455" w14:textId="77777777" w:rsidR="009A14B8" w:rsidRPr="00BC2647" w:rsidRDefault="009A14B8" w:rsidP="004C5E67">
      <w:pPr>
        <w:ind w:firstLine="705"/>
        <w:jc w:val="both"/>
        <w:rPr>
          <w:rFonts w:ascii="Garamond" w:hAnsi="Garamond"/>
          <w:sz w:val="28"/>
          <w:szCs w:val="28"/>
        </w:rPr>
      </w:pPr>
      <w:r w:rsidRPr="00BC2647">
        <w:rPr>
          <w:rFonts w:ascii="Garamond" w:hAnsi="Garamond"/>
          <w:sz w:val="28"/>
          <w:szCs w:val="28"/>
        </w:rPr>
        <w:t>A mi juicio, se debe suprimir esta redacción, atendido que introduce elementos valorativos que son ajenos a la actividad jurídica.</w:t>
      </w:r>
    </w:p>
    <w:p w14:paraId="44A55E29" w14:textId="77777777" w:rsidR="009A14B8" w:rsidRPr="00BC2647" w:rsidRDefault="009A14B8" w:rsidP="004C5E67">
      <w:pPr>
        <w:ind w:firstLine="705"/>
        <w:jc w:val="both"/>
        <w:rPr>
          <w:rFonts w:ascii="Garamond" w:hAnsi="Garamond"/>
          <w:sz w:val="28"/>
          <w:szCs w:val="28"/>
        </w:rPr>
      </w:pPr>
      <w:r w:rsidRPr="00BC2647">
        <w:rPr>
          <w:rFonts w:ascii="Garamond" w:hAnsi="Garamond"/>
          <w:sz w:val="28"/>
          <w:szCs w:val="28"/>
        </w:rPr>
        <w:t xml:space="preserve">La expresión ecuanimidad podría introducir una causal de impugnación subjetiva, atendido que ecuánime es un adjetivo que significa: </w:t>
      </w:r>
      <w:r w:rsidRPr="00BC2647">
        <w:rPr>
          <w:rFonts w:ascii="Garamond" w:hAnsi="Garamond"/>
          <w:i/>
          <w:iCs/>
          <w:sz w:val="28"/>
          <w:szCs w:val="28"/>
        </w:rPr>
        <w:t xml:space="preserve">“no propenso a apasionarse o perder la tranquilidad; equilibrado, sereno; desapasionado; imparcial; justo; Se </w:t>
      </w:r>
      <w:r w:rsidRPr="00BC2647">
        <w:rPr>
          <w:rFonts w:ascii="Garamond" w:hAnsi="Garamond"/>
          <w:i/>
          <w:iCs/>
          <w:sz w:val="28"/>
          <w:szCs w:val="28"/>
        </w:rPr>
        <w:lastRenderedPageBreak/>
        <w:t>aplica al que obra de acuerdo con la razón y la justicia y no por impulsos afectivos, así como a sus actos, palabras, etc.</w:t>
      </w:r>
      <w:r w:rsidRPr="00BC2647">
        <w:rPr>
          <w:rFonts w:ascii="Garamond" w:hAnsi="Garamond"/>
          <w:sz w:val="28"/>
          <w:szCs w:val="28"/>
        </w:rPr>
        <w:t xml:space="preserve"> (Diccionario de Uso español, María Moliner, Gredos).</w:t>
      </w:r>
    </w:p>
    <w:p w14:paraId="171A1959" w14:textId="77777777" w:rsidR="009A14B8" w:rsidRPr="00BC2647" w:rsidRDefault="009A14B8" w:rsidP="00293713">
      <w:pPr>
        <w:ind w:firstLine="705"/>
        <w:jc w:val="both"/>
        <w:rPr>
          <w:rFonts w:ascii="Garamond" w:hAnsi="Garamond"/>
          <w:sz w:val="28"/>
          <w:szCs w:val="28"/>
        </w:rPr>
      </w:pPr>
      <w:r w:rsidRPr="00BC2647">
        <w:rPr>
          <w:rFonts w:ascii="Garamond" w:hAnsi="Garamond"/>
          <w:sz w:val="28"/>
          <w:szCs w:val="28"/>
        </w:rPr>
        <w:t>Como se puede apreciar, el precepto podría llevar a un control psicológico de la actividad judicial, para sostener que tal o cual resolución ha sido dictada por un juez en un estado de falta de ecuanimidad.</w:t>
      </w:r>
    </w:p>
    <w:p w14:paraId="5F4B25A0" w14:textId="77777777" w:rsidR="009A14B8" w:rsidRPr="00BC2647" w:rsidRDefault="009A14B8" w:rsidP="00293713">
      <w:pPr>
        <w:ind w:firstLine="705"/>
        <w:jc w:val="both"/>
        <w:rPr>
          <w:rFonts w:ascii="Garamond" w:hAnsi="Garamond"/>
          <w:sz w:val="28"/>
          <w:szCs w:val="28"/>
        </w:rPr>
      </w:pPr>
      <w:r w:rsidRPr="00BC2647">
        <w:rPr>
          <w:rFonts w:ascii="Garamond" w:hAnsi="Garamond"/>
          <w:sz w:val="28"/>
          <w:szCs w:val="28"/>
        </w:rPr>
        <w:t xml:space="preserve">En nuestra tradición jurídica lo que se debe garantizar es la actuación de un juez imparcial. Esta última categoría se vincula a situaciones objetivas para inhabilitar a un juez por causales legales de implicancia o recusación. </w:t>
      </w:r>
    </w:p>
    <w:p w14:paraId="60EF511A" w14:textId="77777777" w:rsidR="009A14B8" w:rsidRDefault="009A14B8" w:rsidP="00293713">
      <w:pPr>
        <w:ind w:firstLine="705"/>
        <w:jc w:val="both"/>
        <w:rPr>
          <w:rFonts w:ascii="Garamond" w:hAnsi="Garamond"/>
          <w:sz w:val="28"/>
          <w:szCs w:val="28"/>
        </w:rPr>
      </w:pPr>
      <w:r w:rsidRPr="00BC2647">
        <w:rPr>
          <w:rFonts w:ascii="Garamond" w:hAnsi="Garamond"/>
          <w:sz w:val="28"/>
          <w:szCs w:val="28"/>
        </w:rPr>
        <w:t>Si introduce esta norma podrían surgir una nueva forma de inhabilitación subjetiva por la “falta de ecuanimidad”, lo que se ve como altamente inconveniente para el desempeño de la actividad jurisdiccional. Es un hecho que las audiencias judiciales pueden generar comportamientos de tensión entre jueces y abogados. Con este precepto se permitirá un cuestionamiento psicológico de los jueces que no parece correcto introducir.</w:t>
      </w:r>
    </w:p>
    <w:p w14:paraId="58296BFD" w14:textId="746F50E8" w:rsidR="001B1BC5" w:rsidRPr="00BC2647" w:rsidRDefault="002F6473" w:rsidP="00AB2516">
      <w:pPr>
        <w:ind w:left="705" w:hanging="705"/>
        <w:jc w:val="both"/>
        <w:rPr>
          <w:rFonts w:ascii="Garamond" w:hAnsi="Garamond"/>
          <w:b/>
          <w:bCs/>
          <w:caps/>
          <w:sz w:val="28"/>
          <w:szCs w:val="28"/>
        </w:rPr>
      </w:pPr>
      <w:r>
        <w:rPr>
          <w:rFonts w:ascii="Garamond" w:hAnsi="Garamond"/>
          <w:b/>
          <w:bCs/>
          <w:caps/>
          <w:sz w:val="28"/>
          <w:szCs w:val="28"/>
        </w:rPr>
        <w:t>I</w:t>
      </w:r>
      <w:r w:rsidR="008E57EF" w:rsidRPr="00BC2647">
        <w:rPr>
          <w:rFonts w:ascii="Garamond" w:hAnsi="Garamond"/>
          <w:b/>
          <w:bCs/>
          <w:caps/>
          <w:sz w:val="28"/>
          <w:szCs w:val="28"/>
        </w:rPr>
        <w:t>I.</w:t>
      </w:r>
      <w:r w:rsidR="005E4942" w:rsidRPr="00BC2647">
        <w:rPr>
          <w:rFonts w:ascii="Garamond" w:hAnsi="Garamond"/>
          <w:b/>
          <w:bCs/>
          <w:caps/>
          <w:sz w:val="28"/>
          <w:szCs w:val="28"/>
        </w:rPr>
        <w:t xml:space="preserve"> </w:t>
      </w:r>
      <w:r w:rsidR="00B87F4D">
        <w:rPr>
          <w:rFonts w:ascii="Garamond" w:hAnsi="Garamond"/>
          <w:b/>
          <w:bCs/>
          <w:caps/>
          <w:sz w:val="28"/>
          <w:szCs w:val="28"/>
        </w:rPr>
        <w:tab/>
        <w:t xml:space="preserve">LA </w:t>
      </w:r>
      <w:r w:rsidR="000B71C1" w:rsidRPr="00BC2647">
        <w:rPr>
          <w:rFonts w:ascii="Garamond" w:hAnsi="Garamond"/>
          <w:b/>
          <w:bCs/>
          <w:caps/>
          <w:sz w:val="28"/>
          <w:szCs w:val="28"/>
        </w:rPr>
        <w:t>protección de los derechos sociales y</w:t>
      </w:r>
      <w:r w:rsidR="002746EB" w:rsidRPr="00BC2647">
        <w:rPr>
          <w:rFonts w:ascii="Garamond" w:hAnsi="Garamond"/>
          <w:b/>
          <w:bCs/>
          <w:caps/>
          <w:sz w:val="28"/>
          <w:szCs w:val="28"/>
        </w:rPr>
        <w:t xml:space="preserve"> </w:t>
      </w:r>
      <w:r w:rsidR="00AC319D">
        <w:rPr>
          <w:rFonts w:ascii="Garamond" w:hAnsi="Garamond"/>
          <w:b/>
          <w:bCs/>
          <w:caps/>
          <w:sz w:val="28"/>
          <w:szCs w:val="28"/>
        </w:rPr>
        <w:t xml:space="preserve">EL RIEGO </w:t>
      </w:r>
      <w:r w:rsidR="00B0460A">
        <w:rPr>
          <w:rFonts w:ascii="Garamond" w:hAnsi="Garamond"/>
          <w:b/>
          <w:bCs/>
          <w:caps/>
          <w:sz w:val="28"/>
          <w:szCs w:val="28"/>
        </w:rPr>
        <w:t xml:space="preserve">DE LA INDEPENDENCIA </w:t>
      </w:r>
      <w:r w:rsidR="0074759F" w:rsidRPr="00BC2647">
        <w:rPr>
          <w:rFonts w:ascii="Garamond" w:hAnsi="Garamond"/>
          <w:b/>
          <w:bCs/>
          <w:caps/>
          <w:sz w:val="28"/>
          <w:szCs w:val="28"/>
        </w:rPr>
        <w:t>del Poder Judicial</w:t>
      </w:r>
    </w:p>
    <w:p w14:paraId="52A78AC7" w14:textId="6335BCE5" w:rsidR="00756CF1" w:rsidRDefault="00B51C5D" w:rsidP="00756CF1">
      <w:pPr>
        <w:ind w:firstLine="705"/>
        <w:jc w:val="both"/>
        <w:rPr>
          <w:rFonts w:ascii="Garamond" w:hAnsi="Garamond"/>
          <w:sz w:val="28"/>
          <w:szCs w:val="28"/>
        </w:rPr>
      </w:pPr>
      <w:r>
        <w:rPr>
          <w:rFonts w:ascii="Garamond" w:hAnsi="Garamond"/>
          <w:sz w:val="28"/>
          <w:szCs w:val="28"/>
        </w:rPr>
        <w:t xml:space="preserve">Es interesante </w:t>
      </w:r>
      <w:r w:rsidR="00B0460A">
        <w:rPr>
          <w:rFonts w:ascii="Garamond" w:hAnsi="Garamond"/>
          <w:sz w:val="28"/>
          <w:szCs w:val="28"/>
        </w:rPr>
        <w:t xml:space="preserve">en </w:t>
      </w:r>
      <w:r>
        <w:rPr>
          <w:rFonts w:ascii="Garamond" w:hAnsi="Garamond"/>
          <w:sz w:val="28"/>
          <w:szCs w:val="28"/>
        </w:rPr>
        <w:t xml:space="preserve">el art. 154 </w:t>
      </w:r>
      <w:r w:rsidR="00F31BAC">
        <w:rPr>
          <w:rFonts w:ascii="Garamond" w:hAnsi="Garamond"/>
          <w:sz w:val="28"/>
          <w:szCs w:val="28"/>
        </w:rPr>
        <w:t xml:space="preserve">la protección que da a </w:t>
      </w:r>
      <w:r w:rsidR="00756CF1">
        <w:rPr>
          <w:rFonts w:ascii="Garamond" w:hAnsi="Garamond"/>
          <w:sz w:val="28"/>
          <w:szCs w:val="28"/>
        </w:rPr>
        <w:t xml:space="preserve">la independencia judicial, tanto en su proyección interna como interna. </w:t>
      </w:r>
    </w:p>
    <w:p w14:paraId="4C673CC8" w14:textId="24DCE2BA" w:rsidR="000B71C1" w:rsidRPr="00BC2647" w:rsidRDefault="00756CF1" w:rsidP="00756CF1">
      <w:pPr>
        <w:ind w:firstLine="705"/>
        <w:jc w:val="both"/>
        <w:rPr>
          <w:rFonts w:ascii="Garamond" w:hAnsi="Garamond"/>
          <w:sz w:val="28"/>
          <w:szCs w:val="28"/>
        </w:rPr>
      </w:pPr>
      <w:r>
        <w:rPr>
          <w:rFonts w:ascii="Garamond" w:hAnsi="Garamond"/>
          <w:sz w:val="28"/>
          <w:szCs w:val="28"/>
        </w:rPr>
        <w:t xml:space="preserve">Sin embargo, es conveniente advertir que </w:t>
      </w:r>
      <w:r w:rsidR="00537E3E">
        <w:rPr>
          <w:rFonts w:ascii="Garamond" w:hAnsi="Garamond"/>
          <w:sz w:val="28"/>
          <w:szCs w:val="28"/>
        </w:rPr>
        <w:t xml:space="preserve">la misma propuesta constitucional contiene </w:t>
      </w:r>
      <w:r w:rsidR="004E03D9">
        <w:rPr>
          <w:rFonts w:ascii="Garamond" w:hAnsi="Garamond"/>
          <w:sz w:val="28"/>
          <w:szCs w:val="28"/>
        </w:rPr>
        <w:t>una grave amenaza a esta garantía</w:t>
      </w:r>
      <w:r w:rsidR="00F31BAC">
        <w:rPr>
          <w:rFonts w:ascii="Garamond" w:hAnsi="Garamond"/>
          <w:sz w:val="28"/>
          <w:szCs w:val="28"/>
        </w:rPr>
        <w:t>, específicamente,</w:t>
      </w:r>
      <w:r w:rsidR="004E03D9">
        <w:rPr>
          <w:rFonts w:ascii="Garamond" w:hAnsi="Garamond"/>
          <w:sz w:val="28"/>
          <w:szCs w:val="28"/>
        </w:rPr>
        <w:t xml:space="preserve"> en e</w:t>
      </w:r>
      <w:r w:rsidR="000B71C1" w:rsidRPr="00BC2647">
        <w:rPr>
          <w:rFonts w:ascii="Garamond" w:hAnsi="Garamond"/>
          <w:sz w:val="28"/>
          <w:szCs w:val="28"/>
        </w:rPr>
        <w:t xml:space="preserve">l art. 26 </w:t>
      </w:r>
      <w:proofErr w:type="spellStart"/>
      <w:r w:rsidR="000B71C1" w:rsidRPr="00BC2647">
        <w:rPr>
          <w:rFonts w:ascii="Garamond" w:hAnsi="Garamond"/>
          <w:sz w:val="28"/>
          <w:szCs w:val="28"/>
        </w:rPr>
        <w:t>Nº</w:t>
      </w:r>
      <w:proofErr w:type="spellEnd"/>
      <w:r w:rsidR="000B71C1" w:rsidRPr="00BC2647">
        <w:rPr>
          <w:rFonts w:ascii="Garamond" w:hAnsi="Garamond"/>
          <w:sz w:val="28"/>
          <w:szCs w:val="28"/>
        </w:rPr>
        <w:t xml:space="preserve"> 2 del</w:t>
      </w:r>
      <w:r w:rsidR="007131F3">
        <w:rPr>
          <w:rFonts w:ascii="Garamond" w:hAnsi="Garamond"/>
          <w:sz w:val="28"/>
          <w:szCs w:val="28"/>
        </w:rPr>
        <w:t xml:space="preserve"> Anteproyecto</w:t>
      </w:r>
      <w:r w:rsidR="000B71C1" w:rsidRPr="00BC2647">
        <w:rPr>
          <w:rFonts w:ascii="Garamond" w:hAnsi="Garamond"/>
          <w:sz w:val="28"/>
          <w:szCs w:val="28"/>
        </w:rPr>
        <w:t xml:space="preserve">. </w:t>
      </w:r>
    </w:p>
    <w:p w14:paraId="6C1A8059" w14:textId="77777777" w:rsidR="002746EB" w:rsidRPr="00BC2647" w:rsidRDefault="0064685F" w:rsidP="001B1BC5">
      <w:pPr>
        <w:jc w:val="both"/>
        <w:rPr>
          <w:rFonts w:ascii="Garamond" w:hAnsi="Garamond"/>
          <w:sz w:val="28"/>
          <w:szCs w:val="28"/>
        </w:rPr>
      </w:pPr>
      <w:r w:rsidRPr="00BC2647">
        <w:rPr>
          <w:rFonts w:ascii="Garamond" w:hAnsi="Garamond"/>
          <w:sz w:val="28"/>
          <w:szCs w:val="28"/>
        </w:rPr>
        <w:t>La</w:t>
      </w:r>
      <w:r w:rsidR="000B71C1" w:rsidRPr="00BC2647">
        <w:rPr>
          <w:rFonts w:ascii="Garamond" w:hAnsi="Garamond"/>
          <w:sz w:val="28"/>
          <w:szCs w:val="28"/>
        </w:rPr>
        <w:t xml:space="preserve"> norma</w:t>
      </w:r>
      <w:r w:rsidRPr="00BC2647">
        <w:rPr>
          <w:rFonts w:ascii="Garamond" w:hAnsi="Garamond"/>
          <w:sz w:val="28"/>
          <w:szCs w:val="28"/>
        </w:rPr>
        <w:t xml:space="preserve"> propuesta señala</w:t>
      </w:r>
      <w:r w:rsidR="000B71C1" w:rsidRPr="00BC2647">
        <w:rPr>
          <w:rFonts w:ascii="Garamond" w:hAnsi="Garamond"/>
          <w:sz w:val="28"/>
          <w:szCs w:val="28"/>
        </w:rPr>
        <w:t xml:space="preserve">: </w:t>
      </w:r>
    </w:p>
    <w:p w14:paraId="52199E64" w14:textId="5CDB8216" w:rsidR="000B71C1" w:rsidRPr="00BC2647" w:rsidRDefault="000B71C1" w:rsidP="001B1BC5">
      <w:pPr>
        <w:jc w:val="both"/>
        <w:rPr>
          <w:rFonts w:ascii="Garamond" w:hAnsi="Garamond"/>
          <w:i/>
          <w:iCs/>
          <w:sz w:val="28"/>
          <w:szCs w:val="28"/>
        </w:rPr>
      </w:pPr>
      <w:r w:rsidRPr="00BC2647">
        <w:rPr>
          <w:rFonts w:ascii="Garamond" w:hAnsi="Garamond"/>
          <w:i/>
          <w:iCs/>
          <w:sz w:val="28"/>
          <w:szCs w:val="28"/>
        </w:rPr>
        <w:t>“2. Tratándose de las prestaciones sociales vinculadas al ejercicio de los derechos a la salud, a la vivienda, al agua y al saneamiento, a la seguridad social y a la educación establecidos en el artículo 16 de esta Constitución, el que por causa de actos u omisiones ilegales sufra privación, perturbación o amenaza en el legítimo ejercicio de prestaciones legales o discriminación en el acceso a las mismas, podrá ocurrir por sí o por cualquiera a su nombre, a la Corte de Apelaciones respectiva, la que adoptará de inmediato las providencias que juzgue necesarias para restablecer el imperio del derecho”.</w:t>
      </w:r>
    </w:p>
    <w:p w14:paraId="1D3BD041" w14:textId="79D2793E" w:rsidR="00E77CDD" w:rsidRPr="00BC2647" w:rsidRDefault="000B71C1" w:rsidP="002F6473">
      <w:pPr>
        <w:ind w:firstLine="708"/>
        <w:jc w:val="both"/>
        <w:rPr>
          <w:rFonts w:ascii="Garamond" w:hAnsi="Garamond"/>
          <w:sz w:val="28"/>
          <w:szCs w:val="28"/>
        </w:rPr>
      </w:pPr>
      <w:r w:rsidRPr="00BC2647">
        <w:rPr>
          <w:rFonts w:ascii="Garamond" w:hAnsi="Garamond"/>
          <w:sz w:val="28"/>
          <w:szCs w:val="28"/>
        </w:rPr>
        <w:t xml:space="preserve">La </w:t>
      </w:r>
      <w:r w:rsidR="002746EB" w:rsidRPr="00BC2647">
        <w:rPr>
          <w:rFonts w:ascii="Garamond" w:hAnsi="Garamond"/>
          <w:sz w:val="28"/>
          <w:szCs w:val="28"/>
        </w:rPr>
        <w:t xml:space="preserve">propuesta </w:t>
      </w:r>
      <w:r w:rsidR="0064685F" w:rsidRPr="00BC2647">
        <w:rPr>
          <w:rFonts w:ascii="Garamond" w:hAnsi="Garamond"/>
          <w:sz w:val="28"/>
          <w:szCs w:val="28"/>
        </w:rPr>
        <w:t xml:space="preserve">constitucional </w:t>
      </w:r>
      <w:r w:rsidR="00883BB4" w:rsidRPr="00BC2647">
        <w:rPr>
          <w:rFonts w:ascii="Garamond" w:hAnsi="Garamond"/>
          <w:sz w:val="28"/>
          <w:szCs w:val="28"/>
        </w:rPr>
        <w:t>nos ubicará en la lista de países</w:t>
      </w:r>
      <w:r w:rsidRPr="00BC2647">
        <w:rPr>
          <w:rFonts w:ascii="Garamond" w:hAnsi="Garamond"/>
          <w:sz w:val="28"/>
          <w:szCs w:val="28"/>
        </w:rPr>
        <w:t xml:space="preserve"> </w:t>
      </w:r>
      <w:r w:rsidR="0064685F" w:rsidRPr="00BC2647">
        <w:rPr>
          <w:rFonts w:ascii="Garamond" w:hAnsi="Garamond"/>
          <w:sz w:val="28"/>
          <w:szCs w:val="28"/>
        </w:rPr>
        <w:t xml:space="preserve">que </w:t>
      </w:r>
      <w:r w:rsidR="00FF5C05">
        <w:rPr>
          <w:rFonts w:ascii="Garamond" w:hAnsi="Garamond"/>
          <w:sz w:val="28"/>
          <w:szCs w:val="28"/>
        </w:rPr>
        <w:t xml:space="preserve">intentan </w:t>
      </w:r>
      <w:r w:rsidRPr="00BC2647">
        <w:rPr>
          <w:rFonts w:ascii="Garamond" w:hAnsi="Garamond"/>
          <w:sz w:val="28"/>
          <w:szCs w:val="28"/>
        </w:rPr>
        <w:t xml:space="preserve">solucionar </w:t>
      </w:r>
      <w:r w:rsidR="00883BB4" w:rsidRPr="00BC2647">
        <w:rPr>
          <w:rFonts w:ascii="Garamond" w:hAnsi="Garamond"/>
          <w:sz w:val="28"/>
          <w:szCs w:val="28"/>
        </w:rPr>
        <w:t>los</w:t>
      </w:r>
      <w:r w:rsidRPr="00BC2647">
        <w:rPr>
          <w:rFonts w:ascii="Garamond" w:hAnsi="Garamond"/>
          <w:sz w:val="28"/>
          <w:szCs w:val="28"/>
        </w:rPr>
        <w:t xml:space="preserve"> problemas </w:t>
      </w:r>
      <w:r w:rsidR="00883BB4" w:rsidRPr="00BC2647">
        <w:rPr>
          <w:rFonts w:ascii="Garamond" w:hAnsi="Garamond"/>
          <w:sz w:val="28"/>
          <w:szCs w:val="28"/>
        </w:rPr>
        <w:t>vinculados a los</w:t>
      </w:r>
      <w:r w:rsidR="00E77CDD" w:rsidRPr="00BC2647">
        <w:rPr>
          <w:rFonts w:ascii="Garamond" w:hAnsi="Garamond"/>
          <w:sz w:val="28"/>
          <w:szCs w:val="28"/>
        </w:rPr>
        <w:t xml:space="preserve"> derechos económicos y sociales </w:t>
      </w:r>
      <w:r w:rsidR="0064685F" w:rsidRPr="00BC2647">
        <w:rPr>
          <w:rFonts w:ascii="Garamond" w:hAnsi="Garamond"/>
          <w:sz w:val="28"/>
          <w:szCs w:val="28"/>
        </w:rPr>
        <w:t xml:space="preserve">mediante </w:t>
      </w:r>
      <w:r w:rsidRPr="00BC2647">
        <w:rPr>
          <w:rFonts w:ascii="Garamond" w:hAnsi="Garamond"/>
          <w:sz w:val="28"/>
          <w:szCs w:val="28"/>
        </w:rPr>
        <w:t>acciones judiciales</w:t>
      </w:r>
      <w:r w:rsidR="0064685F" w:rsidRPr="00BC2647">
        <w:rPr>
          <w:rFonts w:ascii="Garamond" w:hAnsi="Garamond"/>
          <w:sz w:val="28"/>
          <w:szCs w:val="28"/>
        </w:rPr>
        <w:t xml:space="preserve"> de alcances colectivo</w:t>
      </w:r>
      <w:r w:rsidRPr="00BC2647">
        <w:rPr>
          <w:rFonts w:ascii="Garamond" w:hAnsi="Garamond"/>
          <w:sz w:val="28"/>
          <w:szCs w:val="28"/>
        </w:rPr>
        <w:t xml:space="preserve">. </w:t>
      </w:r>
    </w:p>
    <w:p w14:paraId="5F243DDE" w14:textId="77777777" w:rsidR="00FF5C05" w:rsidRDefault="00883BB4" w:rsidP="00FF5C05">
      <w:pPr>
        <w:ind w:firstLine="708"/>
        <w:jc w:val="both"/>
        <w:rPr>
          <w:rFonts w:ascii="Garamond" w:hAnsi="Garamond"/>
          <w:sz w:val="28"/>
          <w:szCs w:val="28"/>
        </w:rPr>
      </w:pPr>
      <w:r w:rsidRPr="00BC2647">
        <w:rPr>
          <w:rFonts w:ascii="Garamond" w:hAnsi="Garamond"/>
          <w:sz w:val="28"/>
          <w:szCs w:val="28"/>
        </w:rPr>
        <w:lastRenderedPageBreak/>
        <w:t xml:space="preserve">Los que defienden este tipo de acciones piensan que la desigualdad social y la precariedad económica se corrige a través de sentencias judiciales colectivas. </w:t>
      </w:r>
    </w:p>
    <w:p w14:paraId="68B53F81" w14:textId="77777777" w:rsidR="00EB6E1D" w:rsidRDefault="00883BB4" w:rsidP="00270897">
      <w:pPr>
        <w:ind w:firstLine="708"/>
        <w:jc w:val="both"/>
        <w:rPr>
          <w:rFonts w:ascii="Garamond" w:hAnsi="Garamond"/>
          <w:sz w:val="28"/>
          <w:szCs w:val="28"/>
        </w:rPr>
      </w:pPr>
      <w:r w:rsidRPr="00BC2647">
        <w:rPr>
          <w:rFonts w:ascii="Garamond" w:hAnsi="Garamond"/>
          <w:sz w:val="28"/>
          <w:szCs w:val="28"/>
        </w:rPr>
        <w:t xml:space="preserve">Los que defienden esta forma de protección asumen como premisa que los tribunales de justicia, a través de estas acciones colectivas, deben entrar a participar como agentes directos de la democracia deliberativa. </w:t>
      </w:r>
    </w:p>
    <w:p w14:paraId="34EAB62F" w14:textId="731ADDA0" w:rsidR="00270897" w:rsidRDefault="00883BB4" w:rsidP="00270897">
      <w:pPr>
        <w:ind w:firstLine="708"/>
        <w:jc w:val="both"/>
        <w:rPr>
          <w:rFonts w:ascii="Garamond" w:hAnsi="Garamond"/>
          <w:sz w:val="28"/>
          <w:szCs w:val="28"/>
        </w:rPr>
      </w:pPr>
      <w:r w:rsidRPr="00BC2647">
        <w:rPr>
          <w:rFonts w:ascii="Garamond" w:hAnsi="Garamond"/>
          <w:sz w:val="28"/>
          <w:szCs w:val="28"/>
        </w:rPr>
        <w:t>La propuesta se explica por</w:t>
      </w:r>
      <w:r w:rsidR="00A10D77">
        <w:rPr>
          <w:rFonts w:ascii="Garamond" w:hAnsi="Garamond"/>
          <w:sz w:val="28"/>
          <w:szCs w:val="28"/>
        </w:rPr>
        <w:t xml:space="preserve"> el intento de </w:t>
      </w:r>
      <w:r w:rsidR="009D2898">
        <w:rPr>
          <w:rFonts w:ascii="Garamond" w:hAnsi="Garamond"/>
          <w:sz w:val="28"/>
          <w:szCs w:val="28"/>
        </w:rPr>
        <w:t xml:space="preserve">instrumentalizar la judicatura como instrumento de </w:t>
      </w:r>
      <w:r w:rsidRPr="00BC2647">
        <w:rPr>
          <w:rFonts w:ascii="Garamond" w:hAnsi="Garamond"/>
          <w:sz w:val="28"/>
          <w:szCs w:val="28"/>
        </w:rPr>
        <w:t xml:space="preserve">poder </w:t>
      </w:r>
      <w:r w:rsidR="009D2898">
        <w:rPr>
          <w:rFonts w:ascii="Garamond" w:hAnsi="Garamond"/>
          <w:sz w:val="28"/>
          <w:szCs w:val="28"/>
        </w:rPr>
        <w:t xml:space="preserve">político para </w:t>
      </w:r>
      <w:r w:rsidRPr="00BC2647">
        <w:rPr>
          <w:rFonts w:ascii="Garamond" w:hAnsi="Garamond"/>
          <w:sz w:val="28"/>
          <w:szCs w:val="28"/>
        </w:rPr>
        <w:t xml:space="preserve">hacer exigibles los derechos económicos y sociales ante los tribunales de justicia. </w:t>
      </w:r>
      <w:r w:rsidR="008E57EF" w:rsidRPr="00BC2647">
        <w:rPr>
          <w:rFonts w:ascii="Garamond" w:hAnsi="Garamond"/>
          <w:sz w:val="28"/>
          <w:szCs w:val="28"/>
        </w:rPr>
        <w:t>E</w:t>
      </w:r>
      <w:r w:rsidR="009D2898">
        <w:rPr>
          <w:rFonts w:ascii="Garamond" w:hAnsi="Garamond"/>
          <w:sz w:val="28"/>
          <w:szCs w:val="28"/>
        </w:rPr>
        <w:t xml:space="preserve">fectivamente, </w:t>
      </w:r>
      <w:r w:rsidR="008E57EF" w:rsidRPr="00BC2647">
        <w:rPr>
          <w:rFonts w:ascii="Garamond" w:hAnsi="Garamond"/>
          <w:sz w:val="28"/>
          <w:szCs w:val="28"/>
        </w:rPr>
        <w:t xml:space="preserve">como los jueces gozan de imperio para hacer ejecutar sus fallos, una vez decretada la prestación colectiva mediante </w:t>
      </w:r>
      <w:r w:rsidR="009D2898">
        <w:rPr>
          <w:rFonts w:ascii="Garamond" w:hAnsi="Garamond"/>
          <w:sz w:val="28"/>
          <w:szCs w:val="28"/>
        </w:rPr>
        <w:t xml:space="preserve">una </w:t>
      </w:r>
      <w:r w:rsidR="008E57EF" w:rsidRPr="00BC2647">
        <w:rPr>
          <w:rFonts w:ascii="Garamond" w:hAnsi="Garamond"/>
          <w:sz w:val="28"/>
          <w:szCs w:val="28"/>
        </w:rPr>
        <w:t xml:space="preserve">sentencia judicial, la autoridad </w:t>
      </w:r>
      <w:r w:rsidR="009D2898">
        <w:rPr>
          <w:rFonts w:ascii="Garamond" w:hAnsi="Garamond"/>
          <w:sz w:val="28"/>
          <w:szCs w:val="28"/>
        </w:rPr>
        <w:t xml:space="preserve">administrativa o el particular </w:t>
      </w:r>
      <w:r w:rsidR="008E57EF" w:rsidRPr="00BC2647">
        <w:rPr>
          <w:rFonts w:ascii="Garamond" w:hAnsi="Garamond"/>
          <w:sz w:val="28"/>
          <w:szCs w:val="28"/>
        </w:rPr>
        <w:t xml:space="preserve">que se resista a cumplir se expone </w:t>
      </w:r>
      <w:r w:rsidR="00270897">
        <w:rPr>
          <w:rFonts w:ascii="Garamond" w:hAnsi="Garamond"/>
          <w:sz w:val="28"/>
          <w:szCs w:val="28"/>
        </w:rPr>
        <w:t xml:space="preserve">los efectos de las </w:t>
      </w:r>
      <w:r w:rsidR="008E57EF" w:rsidRPr="00BC2647">
        <w:rPr>
          <w:rFonts w:ascii="Garamond" w:hAnsi="Garamond"/>
          <w:sz w:val="28"/>
          <w:szCs w:val="28"/>
        </w:rPr>
        <w:t>medidas compulsivas</w:t>
      </w:r>
      <w:r w:rsidR="006D6788" w:rsidRPr="00BC2647">
        <w:rPr>
          <w:rFonts w:ascii="Garamond" w:hAnsi="Garamond"/>
          <w:sz w:val="28"/>
          <w:szCs w:val="28"/>
        </w:rPr>
        <w:t xml:space="preserve"> </w:t>
      </w:r>
      <w:r w:rsidR="00270897">
        <w:rPr>
          <w:rFonts w:ascii="Garamond" w:hAnsi="Garamond"/>
          <w:sz w:val="28"/>
          <w:szCs w:val="28"/>
        </w:rPr>
        <w:t xml:space="preserve">que tiene </w:t>
      </w:r>
      <w:r w:rsidR="006D6788" w:rsidRPr="00BC2647">
        <w:rPr>
          <w:rFonts w:ascii="Garamond" w:hAnsi="Garamond"/>
          <w:sz w:val="28"/>
          <w:szCs w:val="28"/>
        </w:rPr>
        <w:t>la judicatura pata hacer cumplir sus sentencias</w:t>
      </w:r>
      <w:r w:rsidR="008E57EF" w:rsidRPr="00BC2647">
        <w:rPr>
          <w:rFonts w:ascii="Garamond" w:hAnsi="Garamond"/>
          <w:sz w:val="28"/>
          <w:szCs w:val="28"/>
        </w:rPr>
        <w:t xml:space="preserve">. </w:t>
      </w:r>
    </w:p>
    <w:p w14:paraId="7599C795" w14:textId="77777777" w:rsidR="00270897" w:rsidRDefault="00E77CDD" w:rsidP="00270897">
      <w:pPr>
        <w:ind w:firstLine="708"/>
        <w:jc w:val="both"/>
        <w:rPr>
          <w:rFonts w:ascii="Garamond" w:hAnsi="Garamond"/>
          <w:sz w:val="28"/>
          <w:szCs w:val="28"/>
        </w:rPr>
      </w:pPr>
      <w:r w:rsidRPr="00BC2647">
        <w:rPr>
          <w:rFonts w:ascii="Garamond" w:hAnsi="Garamond"/>
          <w:sz w:val="28"/>
          <w:szCs w:val="28"/>
        </w:rPr>
        <w:t>A</w:t>
      </w:r>
      <w:r w:rsidR="000B71C1" w:rsidRPr="00BC2647">
        <w:rPr>
          <w:rFonts w:ascii="Garamond" w:hAnsi="Garamond"/>
          <w:sz w:val="28"/>
          <w:szCs w:val="28"/>
        </w:rPr>
        <w:t xml:space="preserve"> mi entender</w:t>
      </w:r>
      <w:r w:rsidR="006D6788" w:rsidRPr="00BC2647">
        <w:rPr>
          <w:rFonts w:ascii="Garamond" w:hAnsi="Garamond"/>
          <w:sz w:val="28"/>
          <w:szCs w:val="28"/>
        </w:rPr>
        <w:t>,</w:t>
      </w:r>
      <w:r w:rsidRPr="00BC2647">
        <w:rPr>
          <w:rFonts w:ascii="Garamond" w:hAnsi="Garamond"/>
          <w:sz w:val="28"/>
          <w:szCs w:val="28"/>
        </w:rPr>
        <w:t xml:space="preserve"> esta propuesta </w:t>
      </w:r>
      <w:r w:rsidR="001B1BC5" w:rsidRPr="00BC2647">
        <w:rPr>
          <w:rFonts w:ascii="Garamond" w:hAnsi="Garamond"/>
          <w:sz w:val="28"/>
          <w:szCs w:val="28"/>
        </w:rPr>
        <w:t>supera</w:t>
      </w:r>
      <w:r w:rsidR="00AD25C2" w:rsidRPr="00BC2647">
        <w:rPr>
          <w:rFonts w:ascii="Garamond" w:hAnsi="Garamond"/>
          <w:sz w:val="28"/>
          <w:szCs w:val="28"/>
        </w:rPr>
        <w:t xml:space="preserve"> </w:t>
      </w:r>
      <w:r w:rsidR="001B1BC5" w:rsidRPr="00BC2647">
        <w:rPr>
          <w:rFonts w:ascii="Garamond" w:hAnsi="Garamond"/>
          <w:sz w:val="28"/>
          <w:szCs w:val="28"/>
        </w:rPr>
        <w:t xml:space="preserve">lo que es exigible a los tribunales </w:t>
      </w:r>
      <w:r w:rsidR="00AD25C2" w:rsidRPr="00BC2647">
        <w:rPr>
          <w:rFonts w:ascii="Garamond" w:hAnsi="Garamond"/>
          <w:sz w:val="28"/>
          <w:szCs w:val="28"/>
        </w:rPr>
        <w:t>de justicia</w:t>
      </w:r>
      <w:r w:rsidR="00270897">
        <w:rPr>
          <w:rFonts w:ascii="Garamond" w:hAnsi="Garamond"/>
          <w:sz w:val="28"/>
          <w:szCs w:val="28"/>
        </w:rPr>
        <w:t>,</w:t>
      </w:r>
      <w:r w:rsidR="00AD25C2" w:rsidRPr="00BC2647">
        <w:rPr>
          <w:rFonts w:ascii="Garamond" w:hAnsi="Garamond"/>
          <w:sz w:val="28"/>
          <w:szCs w:val="28"/>
        </w:rPr>
        <w:t xml:space="preserve"> en su actividad de resolver los conflictos jurídicos</w:t>
      </w:r>
      <w:r w:rsidRPr="00BC2647">
        <w:rPr>
          <w:rFonts w:ascii="Garamond" w:hAnsi="Garamond"/>
          <w:sz w:val="28"/>
          <w:szCs w:val="28"/>
        </w:rPr>
        <w:t xml:space="preserve"> y debe ser desestimada completamente</w:t>
      </w:r>
      <w:r w:rsidR="00AD25C2" w:rsidRPr="00BC2647">
        <w:rPr>
          <w:rFonts w:ascii="Garamond" w:hAnsi="Garamond"/>
          <w:sz w:val="28"/>
          <w:szCs w:val="28"/>
        </w:rPr>
        <w:t xml:space="preserve">. </w:t>
      </w:r>
    </w:p>
    <w:p w14:paraId="354C9EF6" w14:textId="77777777" w:rsidR="00DF5E44" w:rsidRDefault="00E77CDD" w:rsidP="00270897">
      <w:pPr>
        <w:ind w:firstLine="708"/>
        <w:jc w:val="both"/>
        <w:rPr>
          <w:rFonts w:ascii="Garamond" w:hAnsi="Garamond"/>
          <w:sz w:val="28"/>
          <w:szCs w:val="28"/>
        </w:rPr>
      </w:pPr>
      <w:r w:rsidRPr="00BC2647">
        <w:rPr>
          <w:rFonts w:ascii="Garamond" w:hAnsi="Garamond"/>
          <w:sz w:val="28"/>
          <w:szCs w:val="28"/>
        </w:rPr>
        <w:t>Las razones p</w:t>
      </w:r>
      <w:r w:rsidR="006D6788" w:rsidRPr="00BC2647">
        <w:rPr>
          <w:rFonts w:ascii="Garamond" w:hAnsi="Garamond"/>
          <w:sz w:val="28"/>
          <w:szCs w:val="28"/>
        </w:rPr>
        <w:t>ara</w:t>
      </w:r>
      <w:r w:rsidRPr="00BC2647">
        <w:rPr>
          <w:rFonts w:ascii="Garamond" w:hAnsi="Garamond"/>
          <w:sz w:val="28"/>
          <w:szCs w:val="28"/>
        </w:rPr>
        <w:t xml:space="preserve"> la supresión son las que se pasan a describir</w:t>
      </w:r>
      <w:r w:rsidR="00883BB4" w:rsidRPr="00BC2647">
        <w:rPr>
          <w:rFonts w:ascii="Garamond" w:hAnsi="Garamond"/>
          <w:sz w:val="28"/>
          <w:szCs w:val="28"/>
        </w:rPr>
        <w:t xml:space="preserve"> y que apuntan a una misma idea: s</w:t>
      </w:r>
      <w:r w:rsidR="0064685F" w:rsidRPr="00BC2647">
        <w:rPr>
          <w:rFonts w:ascii="Garamond" w:hAnsi="Garamond"/>
          <w:sz w:val="28"/>
          <w:szCs w:val="28"/>
        </w:rPr>
        <w:t xml:space="preserve">i prospera este cambio se </w:t>
      </w:r>
      <w:r w:rsidR="001B1BC5" w:rsidRPr="00BC2647">
        <w:rPr>
          <w:rFonts w:ascii="Garamond" w:hAnsi="Garamond"/>
          <w:sz w:val="28"/>
          <w:szCs w:val="28"/>
        </w:rPr>
        <w:t xml:space="preserve">introduce un instrumento </w:t>
      </w:r>
      <w:r w:rsidR="00821110" w:rsidRPr="00BC2647">
        <w:rPr>
          <w:rFonts w:ascii="Garamond" w:hAnsi="Garamond"/>
          <w:sz w:val="28"/>
          <w:szCs w:val="28"/>
        </w:rPr>
        <w:t>jurídico</w:t>
      </w:r>
      <w:r w:rsidR="00A35C4B" w:rsidRPr="00BC2647">
        <w:rPr>
          <w:rFonts w:ascii="Garamond" w:hAnsi="Garamond"/>
          <w:sz w:val="28"/>
          <w:szCs w:val="28"/>
        </w:rPr>
        <w:t xml:space="preserve"> </w:t>
      </w:r>
      <w:r w:rsidR="001B1BC5" w:rsidRPr="00BC2647">
        <w:rPr>
          <w:rFonts w:ascii="Garamond" w:hAnsi="Garamond"/>
          <w:sz w:val="28"/>
          <w:szCs w:val="28"/>
        </w:rPr>
        <w:t>para que los Tribunales Superiores de Justicia intervengan en el diseño y ejecución de políticas públicas</w:t>
      </w:r>
      <w:r w:rsidR="00A35C4B" w:rsidRPr="00BC2647">
        <w:rPr>
          <w:rFonts w:ascii="Garamond" w:hAnsi="Garamond"/>
          <w:sz w:val="28"/>
          <w:szCs w:val="28"/>
        </w:rPr>
        <w:t>,</w:t>
      </w:r>
      <w:r w:rsidR="00821110" w:rsidRPr="00BC2647">
        <w:rPr>
          <w:rFonts w:ascii="Garamond" w:hAnsi="Garamond"/>
          <w:sz w:val="28"/>
          <w:szCs w:val="28"/>
        </w:rPr>
        <w:t xml:space="preserve"> sin límite</w:t>
      </w:r>
      <w:r w:rsidR="001B1BC5" w:rsidRPr="00BC2647">
        <w:rPr>
          <w:rFonts w:ascii="Garamond" w:hAnsi="Garamond"/>
          <w:sz w:val="28"/>
          <w:szCs w:val="28"/>
        </w:rPr>
        <w:t>.</w:t>
      </w:r>
      <w:r w:rsidR="00EA048C" w:rsidRPr="00BC2647">
        <w:rPr>
          <w:rFonts w:ascii="Garamond" w:hAnsi="Garamond"/>
          <w:sz w:val="28"/>
          <w:szCs w:val="28"/>
        </w:rPr>
        <w:t xml:space="preserve"> </w:t>
      </w:r>
    </w:p>
    <w:p w14:paraId="6666116E" w14:textId="77777777" w:rsidR="00DF5E44" w:rsidRDefault="00EA048C" w:rsidP="00DF5E44">
      <w:pPr>
        <w:ind w:firstLine="708"/>
        <w:jc w:val="both"/>
        <w:rPr>
          <w:rFonts w:ascii="Garamond" w:hAnsi="Garamond"/>
          <w:sz w:val="28"/>
          <w:szCs w:val="28"/>
        </w:rPr>
      </w:pPr>
      <w:r w:rsidRPr="00BC2647">
        <w:rPr>
          <w:rFonts w:ascii="Garamond" w:hAnsi="Garamond"/>
          <w:sz w:val="28"/>
          <w:szCs w:val="28"/>
        </w:rPr>
        <w:t xml:space="preserve">Aunque el art. 25 del Anteproyecto indica que </w:t>
      </w:r>
      <w:r w:rsidRPr="00BC2647">
        <w:rPr>
          <w:rFonts w:ascii="Garamond" w:hAnsi="Garamond"/>
          <w:i/>
          <w:iCs/>
          <w:sz w:val="28"/>
          <w:szCs w:val="28"/>
        </w:rPr>
        <w:t>“los tribunales no podrán definir o diseñar políticas públicas que realizan los derechos individualizados en el artículo precedente”</w:t>
      </w:r>
      <w:r w:rsidRPr="00BC2647">
        <w:rPr>
          <w:rFonts w:ascii="Garamond" w:hAnsi="Garamond"/>
          <w:sz w:val="28"/>
          <w:szCs w:val="28"/>
        </w:rPr>
        <w:t>, en la práctica declaraci</w:t>
      </w:r>
      <w:r w:rsidR="006D6788" w:rsidRPr="00BC2647">
        <w:rPr>
          <w:rFonts w:ascii="Garamond" w:hAnsi="Garamond"/>
          <w:sz w:val="28"/>
          <w:szCs w:val="28"/>
        </w:rPr>
        <w:t xml:space="preserve">ones jurisdiccionales de este tipo </w:t>
      </w:r>
      <w:r w:rsidRPr="00BC2647">
        <w:rPr>
          <w:rFonts w:ascii="Garamond" w:hAnsi="Garamond"/>
          <w:sz w:val="28"/>
          <w:szCs w:val="28"/>
        </w:rPr>
        <w:t>no tiene</w:t>
      </w:r>
      <w:r w:rsidR="006D6788" w:rsidRPr="00BC2647">
        <w:rPr>
          <w:rFonts w:ascii="Garamond" w:hAnsi="Garamond"/>
          <w:sz w:val="28"/>
          <w:szCs w:val="28"/>
        </w:rPr>
        <w:t>n</w:t>
      </w:r>
      <w:r w:rsidRPr="00BC2647">
        <w:rPr>
          <w:rFonts w:ascii="Garamond" w:hAnsi="Garamond"/>
          <w:sz w:val="28"/>
          <w:szCs w:val="28"/>
        </w:rPr>
        <w:t xml:space="preserve"> como se</w:t>
      </w:r>
      <w:r w:rsidR="00097ABF" w:rsidRPr="00BC2647">
        <w:rPr>
          <w:rFonts w:ascii="Garamond" w:hAnsi="Garamond"/>
          <w:sz w:val="28"/>
          <w:szCs w:val="28"/>
        </w:rPr>
        <w:t xml:space="preserve">r </w:t>
      </w:r>
      <w:r w:rsidRPr="00BC2647">
        <w:rPr>
          <w:rFonts w:ascii="Garamond" w:hAnsi="Garamond"/>
          <w:sz w:val="28"/>
          <w:szCs w:val="28"/>
        </w:rPr>
        <w:t>controlada</w:t>
      </w:r>
      <w:r w:rsidR="006D6788" w:rsidRPr="00BC2647">
        <w:rPr>
          <w:rFonts w:ascii="Garamond" w:hAnsi="Garamond"/>
          <w:sz w:val="28"/>
          <w:szCs w:val="28"/>
        </w:rPr>
        <w:t>s</w:t>
      </w:r>
      <w:r w:rsidRPr="00BC2647">
        <w:rPr>
          <w:rFonts w:ascii="Garamond" w:hAnsi="Garamond"/>
          <w:sz w:val="28"/>
          <w:szCs w:val="28"/>
        </w:rPr>
        <w:t xml:space="preserve">. Una sentencia judicial siempre es un acto imperativo que es ejecutable </w:t>
      </w:r>
      <w:r w:rsidR="00097ABF" w:rsidRPr="00BC2647">
        <w:rPr>
          <w:rFonts w:ascii="Garamond" w:hAnsi="Garamond"/>
          <w:sz w:val="28"/>
          <w:szCs w:val="28"/>
        </w:rPr>
        <w:t>coactivamente</w:t>
      </w:r>
      <w:r w:rsidRPr="00BC2647">
        <w:rPr>
          <w:rFonts w:ascii="Garamond" w:hAnsi="Garamond"/>
          <w:sz w:val="28"/>
          <w:szCs w:val="28"/>
        </w:rPr>
        <w:t xml:space="preserve">. </w:t>
      </w:r>
    </w:p>
    <w:p w14:paraId="15EAFECC" w14:textId="1A38A603" w:rsidR="0064685F" w:rsidRDefault="00EA048C" w:rsidP="00DF5E44">
      <w:pPr>
        <w:ind w:firstLine="708"/>
        <w:jc w:val="both"/>
        <w:rPr>
          <w:rFonts w:ascii="Garamond" w:hAnsi="Garamond"/>
          <w:sz w:val="28"/>
          <w:szCs w:val="28"/>
        </w:rPr>
      </w:pPr>
      <w:r w:rsidRPr="00BC2647">
        <w:rPr>
          <w:rFonts w:ascii="Garamond" w:hAnsi="Garamond"/>
          <w:sz w:val="28"/>
          <w:szCs w:val="28"/>
        </w:rPr>
        <w:t xml:space="preserve">Si un fallo </w:t>
      </w:r>
      <w:r w:rsidR="006D6788" w:rsidRPr="00BC2647">
        <w:rPr>
          <w:rFonts w:ascii="Garamond" w:hAnsi="Garamond"/>
          <w:sz w:val="28"/>
          <w:szCs w:val="28"/>
        </w:rPr>
        <w:t>judicial se excede y entra a intervenir en una política pública</w:t>
      </w:r>
      <w:r w:rsidR="00DF5E44">
        <w:rPr>
          <w:rFonts w:ascii="Garamond" w:hAnsi="Garamond"/>
          <w:sz w:val="28"/>
          <w:szCs w:val="28"/>
        </w:rPr>
        <w:t>,</w:t>
      </w:r>
      <w:r w:rsidR="006D6788" w:rsidRPr="00BC2647">
        <w:rPr>
          <w:rFonts w:ascii="Garamond" w:hAnsi="Garamond"/>
          <w:sz w:val="28"/>
          <w:szCs w:val="28"/>
        </w:rPr>
        <w:t xml:space="preserve"> </w:t>
      </w:r>
      <w:r w:rsidRPr="00BC2647">
        <w:rPr>
          <w:rFonts w:ascii="Garamond" w:hAnsi="Garamond"/>
          <w:sz w:val="28"/>
          <w:szCs w:val="28"/>
        </w:rPr>
        <w:t xml:space="preserve">en el mejor de los casos podría </w:t>
      </w:r>
      <w:r w:rsidR="006D6788" w:rsidRPr="00BC2647">
        <w:rPr>
          <w:rFonts w:ascii="Garamond" w:hAnsi="Garamond"/>
          <w:sz w:val="28"/>
          <w:szCs w:val="28"/>
        </w:rPr>
        <w:t xml:space="preserve">acarrear responsabilidad política para un juez, pero </w:t>
      </w:r>
      <w:r w:rsidR="00D31AC8">
        <w:rPr>
          <w:rFonts w:ascii="Garamond" w:hAnsi="Garamond"/>
          <w:sz w:val="28"/>
          <w:szCs w:val="28"/>
        </w:rPr>
        <w:t>ni el Poder Ejecutivo ni el Legislativo pueden</w:t>
      </w:r>
      <w:r w:rsidR="006D6788" w:rsidRPr="00BC2647">
        <w:rPr>
          <w:rFonts w:ascii="Garamond" w:hAnsi="Garamond"/>
          <w:sz w:val="28"/>
          <w:szCs w:val="28"/>
        </w:rPr>
        <w:t xml:space="preserve"> dej</w:t>
      </w:r>
      <w:r w:rsidR="00D31AC8">
        <w:rPr>
          <w:rFonts w:ascii="Garamond" w:hAnsi="Garamond"/>
          <w:sz w:val="28"/>
          <w:szCs w:val="28"/>
        </w:rPr>
        <w:t>ar</w:t>
      </w:r>
      <w:r w:rsidR="006D6788" w:rsidRPr="00BC2647">
        <w:rPr>
          <w:rFonts w:ascii="Garamond" w:hAnsi="Garamond"/>
          <w:sz w:val="28"/>
          <w:szCs w:val="28"/>
        </w:rPr>
        <w:t xml:space="preserve"> sin efecto un fallo judicial pasado en autoridad de cosa juzgada. A lo anterior se agrega que siempre habrá en el campo político partidista personas que apoyen las actuaciones de jueces</w:t>
      </w:r>
      <w:r w:rsidR="0073473D">
        <w:rPr>
          <w:rFonts w:ascii="Garamond" w:hAnsi="Garamond"/>
          <w:sz w:val="28"/>
          <w:szCs w:val="28"/>
        </w:rPr>
        <w:t xml:space="preserve">, </w:t>
      </w:r>
      <w:r w:rsidR="006D6788" w:rsidRPr="00BC2647">
        <w:rPr>
          <w:rFonts w:ascii="Garamond" w:hAnsi="Garamond"/>
          <w:sz w:val="28"/>
          <w:szCs w:val="28"/>
        </w:rPr>
        <w:t>a los que</w:t>
      </w:r>
      <w:r w:rsidR="004124F5">
        <w:rPr>
          <w:rFonts w:ascii="Garamond" w:hAnsi="Garamond"/>
          <w:sz w:val="28"/>
          <w:szCs w:val="28"/>
        </w:rPr>
        <w:t xml:space="preserve"> se les exaltará por su sensibilidad </w:t>
      </w:r>
      <w:r w:rsidR="006D6788" w:rsidRPr="00BC2647">
        <w:rPr>
          <w:rFonts w:ascii="Garamond" w:hAnsi="Garamond"/>
          <w:sz w:val="28"/>
          <w:szCs w:val="28"/>
        </w:rPr>
        <w:t xml:space="preserve">en esta cruzada que comenzará </w:t>
      </w:r>
      <w:r w:rsidR="004124F5">
        <w:rPr>
          <w:rFonts w:ascii="Garamond" w:hAnsi="Garamond"/>
          <w:sz w:val="28"/>
          <w:szCs w:val="28"/>
        </w:rPr>
        <w:t xml:space="preserve">si se aprueba ente mecanismo de protección </w:t>
      </w:r>
      <w:r w:rsidR="00097ABF" w:rsidRPr="00BC2647">
        <w:rPr>
          <w:rFonts w:ascii="Garamond" w:hAnsi="Garamond"/>
          <w:sz w:val="28"/>
          <w:szCs w:val="28"/>
        </w:rPr>
        <w:t>colectiva</w:t>
      </w:r>
      <w:r w:rsidRPr="00BC2647">
        <w:rPr>
          <w:rFonts w:ascii="Garamond" w:hAnsi="Garamond"/>
          <w:sz w:val="28"/>
          <w:szCs w:val="28"/>
        </w:rPr>
        <w:t xml:space="preserve"> </w:t>
      </w:r>
      <w:r w:rsidR="00182710">
        <w:rPr>
          <w:rFonts w:ascii="Garamond" w:hAnsi="Garamond"/>
          <w:sz w:val="28"/>
          <w:szCs w:val="28"/>
        </w:rPr>
        <w:t>de</w:t>
      </w:r>
      <w:r w:rsidR="006D6788" w:rsidRPr="00BC2647">
        <w:rPr>
          <w:rFonts w:ascii="Garamond" w:hAnsi="Garamond"/>
          <w:sz w:val="28"/>
          <w:szCs w:val="28"/>
        </w:rPr>
        <w:t xml:space="preserve"> los derechos indicados en la norma que se comenta.</w:t>
      </w:r>
      <w:r w:rsidRPr="00BC2647">
        <w:rPr>
          <w:rFonts w:ascii="Garamond" w:hAnsi="Garamond"/>
          <w:sz w:val="28"/>
          <w:szCs w:val="28"/>
        </w:rPr>
        <w:t xml:space="preserve"> </w:t>
      </w:r>
    </w:p>
    <w:p w14:paraId="0D1BC931" w14:textId="77777777" w:rsidR="003B7B39" w:rsidRDefault="003B7B39" w:rsidP="00DF5E44">
      <w:pPr>
        <w:ind w:firstLine="708"/>
        <w:jc w:val="both"/>
        <w:rPr>
          <w:rFonts w:ascii="Garamond" w:hAnsi="Garamond"/>
          <w:sz w:val="28"/>
          <w:szCs w:val="28"/>
        </w:rPr>
      </w:pPr>
    </w:p>
    <w:p w14:paraId="314E18EC" w14:textId="77777777" w:rsidR="003B7B39" w:rsidRDefault="003B7B39" w:rsidP="00DF5E44">
      <w:pPr>
        <w:ind w:firstLine="708"/>
        <w:jc w:val="both"/>
        <w:rPr>
          <w:rFonts w:ascii="Garamond" w:hAnsi="Garamond"/>
          <w:sz w:val="28"/>
          <w:szCs w:val="28"/>
        </w:rPr>
      </w:pPr>
    </w:p>
    <w:p w14:paraId="303AD868" w14:textId="77777777" w:rsidR="00182710" w:rsidRDefault="00182710" w:rsidP="00182710">
      <w:pPr>
        <w:ind w:firstLine="708"/>
        <w:jc w:val="both"/>
        <w:rPr>
          <w:rFonts w:ascii="Garamond" w:hAnsi="Garamond"/>
          <w:b/>
          <w:bCs/>
          <w:sz w:val="28"/>
          <w:szCs w:val="28"/>
        </w:rPr>
      </w:pPr>
      <w:r w:rsidRPr="00182710">
        <w:rPr>
          <w:rFonts w:ascii="Garamond" w:hAnsi="Garamond"/>
          <w:b/>
          <w:bCs/>
          <w:sz w:val="28"/>
          <w:szCs w:val="28"/>
        </w:rPr>
        <w:lastRenderedPageBreak/>
        <w:t>El riesgo para la independencia judicial</w:t>
      </w:r>
    </w:p>
    <w:p w14:paraId="0BF3FE10" w14:textId="77777777" w:rsidR="00510E07" w:rsidRDefault="00310A74" w:rsidP="00182710">
      <w:pPr>
        <w:ind w:firstLine="708"/>
        <w:jc w:val="both"/>
        <w:rPr>
          <w:rFonts w:ascii="Garamond" w:hAnsi="Garamond"/>
          <w:sz w:val="28"/>
          <w:szCs w:val="28"/>
        </w:rPr>
      </w:pPr>
      <w:r w:rsidRPr="00BC2647">
        <w:rPr>
          <w:rFonts w:ascii="Garamond" w:hAnsi="Garamond"/>
          <w:sz w:val="28"/>
          <w:szCs w:val="28"/>
        </w:rPr>
        <w:t xml:space="preserve">A través de esta acción constitucional se presionará a los jueces para que </w:t>
      </w:r>
      <w:r w:rsidR="00182710">
        <w:rPr>
          <w:rFonts w:ascii="Garamond" w:hAnsi="Garamond"/>
          <w:sz w:val="28"/>
          <w:szCs w:val="28"/>
        </w:rPr>
        <w:t xml:space="preserve">se animen a dar </w:t>
      </w:r>
      <w:r w:rsidRPr="00BC2647">
        <w:rPr>
          <w:rFonts w:ascii="Garamond" w:hAnsi="Garamond"/>
          <w:sz w:val="28"/>
          <w:szCs w:val="28"/>
        </w:rPr>
        <w:t>protección colectiva</w:t>
      </w:r>
      <w:r w:rsidR="00182710">
        <w:rPr>
          <w:rFonts w:ascii="Garamond" w:hAnsi="Garamond"/>
          <w:sz w:val="28"/>
          <w:szCs w:val="28"/>
        </w:rPr>
        <w:t>,</w:t>
      </w:r>
      <w:r w:rsidRPr="00BC2647">
        <w:rPr>
          <w:rFonts w:ascii="Garamond" w:hAnsi="Garamond"/>
          <w:sz w:val="28"/>
          <w:szCs w:val="28"/>
        </w:rPr>
        <w:t xml:space="preserve"> en temas que son propios del ámbito de la política y de la economía.</w:t>
      </w:r>
      <w:r w:rsidR="00182710">
        <w:rPr>
          <w:rFonts w:ascii="Garamond" w:hAnsi="Garamond"/>
          <w:sz w:val="28"/>
          <w:szCs w:val="28"/>
        </w:rPr>
        <w:t xml:space="preserve"> </w:t>
      </w:r>
    </w:p>
    <w:p w14:paraId="121FBD6E" w14:textId="77777777" w:rsidR="00035EB1" w:rsidRDefault="00AD25C2" w:rsidP="00560924">
      <w:pPr>
        <w:ind w:firstLine="708"/>
        <w:jc w:val="both"/>
        <w:rPr>
          <w:rFonts w:ascii="Garamond" w:hAnsi="Garamond"/>
          <w:sz w:val="28"/>
          <w:szCs w:val="28"/>
        </w:rPr>
      </w:pPr>
      <w:r w:rsidRPr="00BC2647">
        <w:rPr>
          <w:rFonts w:ascii="Garamond" w:hAnsi="Garamond"/>
          <w:sz w:val="28"/>
          <w:szCs w:val="28"/>
        </w:rPr>
        <w:t>No hay que ser muy agudo de mente para advertir que c</w:t>
      </w:r>
      <w:r w:rsidR="001B1BC5" w:rsidRPr="00BC2647">
        <w:rPr>
          <w:rFonts w:ascii="Garamond" w:hAnsi="Garamond"/>
          <w:sz w:val="28"/>
          <w:szCs w:val="28"/>
        </w:rPr>
        <w:t xml:space="preserve">ualquier político populista, cualquiera sea su signo político, intentará </w:t>
      </w:r>
      <w:r w:rsidRPr="00BC2647">
        <w:rPr>
          <w:rFonts w:ascii="Garamond" w:hAnsi="Garamond"/>
          <w:sz w:val="28"/>
          <w:szCs w:val="28"/>
        </w:rPr>
        <w:t xml:space="preserve">promover </w:t>
      </w:r>
      <w:r w:rsidR="001B1BC5" w:rsidRPr="00BC2647">
        <w:rPr>
          <w:rFonts w:ascii="Garamond" w:hAnsi="Garamond"/>
          <w:sz w:val="28"/>
          <w:szCs w:val="28"/>
        </w:rPr>
        <w:t xml:space="preserve">esta acción </w:t>
      </w:r>
      <w:r w:rsidRPr="00BC2647">
        <w:rPr>
          <w:rFonts w:ascii="Garamond" w:hAnsi="Garamond"/>
          <w:sz w:val="28"/>
          <w:szCs w:val="28"/>
        </w:rPr>
        <w:t xml:space="preserve">-seguramente acompañado de cámaras de TV- </w:t>
      </w:r>
      <w:r w:rsidR="001B1BC5" w:rsidRPr="00BC2647">
        <w:rPr>
          <w:rFonts w:ascii="Garamond" w:hAnsi="Garamond"/>
          <w:sz w:val="28"/>
          <w:szCs w:val="28"/>
        </w:rPr>
        <w:t xml:space="preserve">para que sus electores vean que es un hombre de bien, </w:t>
      </w:r>
      <w:r w:rsidRPr="00BC2647">
        <w:rPr>
          <w:rFonts w:ascii="Garamond" w:hAnsi="Garamond"/>
          <w:sz w:val="28"/>
          <w:szCs w:val="28"/>
        </w:rPr>
        <w:t xml:space="preserve">y que </w:t>
      </w:r>
      <w:r w:rsidR="00510E07">
        <w:rPr>
          <w:rFonts w:ascii="Garamond" w:hAnsi="Garamond"/>
          <w:sz w:val="28"/>
          <w:szCs w:val="28"/>
        </w:rPr>
        <w:t>les corresponde a los</w:t>
      </w:r>
      <w:r w:rsidR="001B1BC5" w:rsidRPr="00BC2647">
        <w:rPr>
          <w:rFonts w:ascii="Garamond" w:hAnsi="Garamond"/>
          <w:sz w:val="28"/>
          <w:szCs w:val="28"/>
        </w:rPr>
        <w:t xml:space="preserve"> Tribunales </w:t>
      </w:r>
      <w:r w:rsidR="00B8742C">
        <w:rPr>
          <w:rFonts w:ascii="Garamond" w:hAnsi="Garamond"/>
          <w:sz w:val="28"/>
          <w:szCs w:val="28"/>
        </w:rPr>
        <w:t xml:space="preserve">asumir su rol </w:t>
      </w:r>
      <w:r w:rsidR="00821110" w:rsidRPr="00BC2647">
        <w:rPr>
          <w:rFonts w:ascii="Garamond" w:hAnsi="Garamond"/>
          <w:sz w:val="28"/>
          <w:szCs w:val="28"/>
        </w:rPr>
        <w:t xml:space="preserve">para </w:t>
      </w:r>
      <w:r w:rsidR="001B1BC5" w:rsidRPr="00BC2647">
        <w:rPr>
          <w:rFonts w:ascii="Garamond" w:hAnsi="Garamond"/>
          <w:sz w:val="28"/>
          <w:szCs w:val="28"/>
        </w:rPr>
        <w:t>supera</w:t>
      </w:r>
      <w:r w:rsidR="00893256" w:rsidRPr="00BC2647">
        <w:rPr>
          <w:rFonts w:ascii="Garamond" w:hAnsi="Garamond"/>
          <w:sz w:val="28"/>
          <w:szCs w:val="28"/>
        </w:rPr>
        <w:t>r la</w:t>
      </w:r>
      <w:r w:rsidR="00B8742C">
        <w:rPr>
          <w:rFonts w:ascii="Garamond" w:hAnsi="Garamond"/>
          <w:sz w:val="28"/>
          <w:szCs w:val="28"/>
        </w:rPr>
        <w:t>s situaciones de</w:t>
      </w:r>
      <w:r w:rsidR="00893256" w:rsidRPr="00BC2647">
        <w:rPr>
          <w:rFonts w:ascii="Garamond" w:hAnsi="Garamond"/>
          <w:sz w:val="28"/>
          <w:szCs w:val="28"/>
        </w:rPr>
        <w:t xml:space="preserve"> pobreza</w:t>
      </w:r>
      <w:r w:rsidR="00B8742C">
        <w:rPr>
          <w:rFonts w:ascii="Garamond" w:hAnsi="Garamond"/>
          <w:sz w:val="28"/>
          <w:szCs w:val="28"/>
        </w:rPr>
        <w:t>,</w:t>
      </w:r>
      <w:r w:rsidR="00893256" w:rsidRPr="00BC2647">
        <w:rPr>
          <w:rFonts w:ascii="Garamond" w:hAnsi="Garamond"/>
          <w:sz w:val="28"/>
          <w:szCs w:val="28"/>
        </w:rPr>
        <w:t xml:space="preserve"> </w:t>
      </w:r>
      <w:r w:rsidR="00821110" w:rsidRPr="00BC2647">
        <w:rPr>
          <w:rFonts w:ascii="Garamond" w:hAnsi="Garamond"/>
          <w:sz w:val="28"/>
          <w:szCs w:val="28"/>
        </w:rPr>
        <w:t xml:space="preserve">utilizando los instrumentos que </w:t>
      </w:r>
      <w:r w:rsidR="00B8742C">
        <w:rPr>
          <w:rFonts w:ascii="Garamond" w:hAnsi="Garamond"/>
          <w:sz w:val="28"/>
          <w:szCs w:val="28"/>
        </w:rPr>
        <w:t xml:space="preserve">ahora se </w:t>
      </w:r>
      <w:r w:rsidR="00821110" w:rsidRPr="00BC2647">
        <w:rPr>
          <w:rFonts w:ascii="Garamond" w:hAnsi="Garamond"/>
          <w:sz w:val="28"/>
          <w:szCs w:val="28"/>
        </w:rPr>
        <w:t xml:space="preserve">le concede la actividad </w:t>
      </w:r>
      <w:r w:rsidR="00893256" w:rsidRPr="00BC2647">
        <w:rPr>
          <w:rFonts w:ascii="Garamond" w:hAnsi="Garamond"/>
          <w:sz w:val="28"/>
          <w:szCs w:val="28"/>
        </w:rPr>
        <w:t>jurisdiccional</w:t>
      </w:r>
      <w:r w:rsidR="001B1BC5" w:rsidRPr="00BC2647">
        <w:rPr>
          <w:rFonts w:ascii="Garamond" w:hAnsi="Garamond"/>
          <w:sz w:val="28"/>
          <w:szCs w:val="28"/>
        </w:rPr>
        <w:t xml:space="preserve">. </w:t>
      </w:r>
    </w:p>
    <w:p w14:paraId="7FE6F33D" w14:textId="77777777" w:rsidR="00B11F95" w:rsidRDefault="00821110" w:rsidP="00560924">
      <w:pPr>
        <w:ind w:firstLine="708"/>
        <w:jc w:val="both"/>
        <w:rPr>
          <w:rFonts w:ascii="Garamond" w:hAnsi="Garamond"/>
          <w:sz w:val="28"/>
          <w:szCs w:val="28"/>
        </w:rPr>
      </w:pPr>
      <w:r w:rsidRPr="00BC2647">
        <w:rPr>
          <w:rFonts w:ascii="Garamond" w:hAnsi="Garamond"/>
          <w:sz w:val="28"/>
          <w:szCs w:val="28"/>
        </w:rPr>
        <w:t xml:space="preserve">Un precepto de este tipo </w:t>
      </w:r>
      <w:r w:rsidR="00F80E4A" w:rsidRPr="00BC2647">
        <w:rPr>
          <w:rFonts w:ascii="Garamond" w:hAnsi="Garamond"/>
          <w:sz w:val="28"/>
          <w:szCs w:val="28"/>
        </w:rPr>
        <w:t xml:space="preserve">permitirá </w:t>
      </w:r>
      <w:r w:rsidRPr="00BC2647">
        <w:rPr>
          <w:rFonts w:ascii="Garamond" w:hAnsi="Garamond"/>
          <w:sz w:val="28"/>
          <w:szCs w:val="28"/>
        </w:rPr>
        <w:t xml:space="preserve">que los jueces que </w:t>
      </w:r>
      <w:r w:rsidR="00035EB1">
        <w:rPr>
          <w:rFonts w:ascii="Garamond" w:hAnsi="Garamond"/>
          <w:sz w:val="28"/>
          <w:szCs w:val="28"/>
        </w:rPr>
        <w:t xml:space="preserve">no </w:t>
      </w:r>
      <w:r w:rsidR="00F80E4A" w:rsidRPr="00BC2647">
        <w:rPr>
          <w:rFonts w:ascii="Garamond" w:hAnsi="Garamond"/>
          <w:sz w:val="28"/>
          <w:szCs w:val="28"/>
        </w:rPr>
        <w:t xml:space="preserve">accedan a estas tutelas colectivas </w:t>
      </w:r>
      <w:r w:rsidRPr="00BC2647">
        <w:rPr>
          <w:rFonts w:ascii="Garamond" w:hAnsi="Garamond"/>
          <w:sz w:val="28"/>
          <w:szCs w:val="28"/>
        </w:rPr>
        <w:t>terminen siendo acusados constitucionalmente o sometidos al control del nuevo mecanismo que se incorpora</w:t>
      </w:r>
      <w:r w:rsidR="00B11F95">
        <w:rPr>
          <w:rFonts w:ascii="Garamond" w:hAnsi="Garamond"/>
          <w:sz w:val="28"/>
          <w:szCs w:val="28"/>
        </w:rPr>
        <w:t xml:space="preserve"> en la </w:t>
      </w:r>
      <w:r w:rsidRPr="00BC2647">
        <w:rPr>
          <w:rFonts w:ascii="Garamond" w:hAnsi="Garamond"/>
          <w:sz w:val="28"/>
          <w:szCs w:val="28"/>
        </w:rPr>
        <w:t>regulación del Poder Judicial.</w:t>
      </w:r>
    </w:p>
    <w:p w14:paraId="7B35F7DA" w14:textId="77777777" w:rsidR="008C2D8A" w:rsidRDefault="00821110" w:rsidP="008C2D8A">
      <w:pPr>
        <w:ind w:firstLine="708"/>
        <w:jc w:val="both"/>
        <w:rPr>
          <w:rFonts w:ascii="Garamond" w:hAnsi="Garamond"/>
          <w:sz w:val="28"/>
          <w:szCs w:val="28"/>
        </w:rPr>
      </w:pPr>
      <w:r w:rsidRPr="00BC2647">
        <w:rPr>
          <w:rFonts w:ascii="Garamond" w:hAnsi="Garamond"/>
          <w:sz w:val="28"/>
          <w:szCs w:val="28"/>
        </w:rPr>
        <w:t xml:space="preserve">Por lo mismo, </w:t>
      </w:r>
      <w:r w:rsidR="006B5B6D" w:rsidRPr="00BC2647">
        <w:rPr>
          <w:rFonts w:ascii="Garamond" w:hAnsi="Garamond"/>
          <w:sz w:val="28"/>
          <w:szCs w:val="28"/>
        </w:rPr>
        <w:t xml:space="preserve">para garantizar la independencia del Poder Judicial </w:t>
      </w:r>
      <w:r w:rsidRPr="00BC2647">
        <w:rPr>
          <w:rFonts w:ascii="Garamond" w:hAnsi="Garamond"/>
          <w:sz w:val="28"/>
          <w:szCs w:val="28"/>
        </w:rPr>
        <w:t>no es razonable aceptar est</w:t>
      </w:r>
      <w:r w:rsidR="006B5B6D" w:rsidRPr="00BC2647">
        <w:rPr>
          <w:rFonts w:ascii="Garamond" w:hAnsi="Garamond"/>
          <w:sz w:val="28"/>
          <w:szCs w:val="28"/>
        </w:rPr>
        <w:t>a propuesta del Proyecto de Constitución.</w:t>
      </w:r>
      <w:r w:rsidRPr="00BC2647">
        <w:rPr>
          <w:rFonts w:ascii="Garamond" w:hAnsi="Garamond"/>
          <w:sz w:val="28"/>
          <w:szCs w:val="28"/>
        </w:rPr>
        <w:t xml:space="preserve"> </w:t>
      </w:r>
      <w:r w:rsidR="00B11F95">
        <w:rPr>
          <w:rFonts w:ascii="Garamond" w:hAnsi="Garamond"/>
          <w:sz w:val="28"/>
          <w:szCs w:val="28"/>
        </w:rPr>
        <w:t>L</w:t>
      </w:r>
      <w:r w:rsidRPr="00BC2647">
        <w:rPr>
          <w:rFonts w:ascii="Garamond" w:hAnsi="Garamond"/>
          <w:sz w:val="28"/>
          <w:szCs w:val="28"/>
        </w:rPr>
        <w:t xml:space="preserve">a incapacidad </w:t>
      </w:r>
      <w:r w:rsidR="006B5B6D" w:rsidRPr="00BC2647">
        <w:rPr>
          <w:rFonts w:ascii="Garamond" w:hAnsi="Garamond"/>
          <w:sz w:val="28"/>
          <w:szCs w:val="28"/>
        </w:rPr>
        <w:t>de</w:t>
      </w:r>
      <w:r w:rsidR="00F80E4A" w:rsidRPr="00BC2647">
        <w:rPr>
          <w:rFonts w:ascii="Garamond" w:hAnsi="Garamond"/>
          <w:sz w:val="28"/>
          <w:szCs w:val="28"/>
        </w:rPr>
        <w:t xml:space="preserve">l sistema </w:t>
      </w:r>
      <w:r w:rsidRPr="00BC2647">
        <w:rPr>
          <w:rFonts w:ascii="Garamond" w:hAnsi="Garamond"/>
          <w:sz w:val="28"/>
          <w:szCs w:val="28"/>
        </w:rPr>
        <w:t>polític</w:t>
      </w:r>
      <w:r w:rsidR="00F80E4A" w:rsidRPr="00BC2647">
        <w:rPr>
          <w:rFonts w:ascii="Garamond" w:hAnsi="Garamond"/>
          <w:sz w:val="28"/>
          <w:szCs w:val="28"/>
        </w:rPr>
        <w:t>o</w:t>
      </w:r>
      <w:r w:rsidRPr="00BC2647">
        <w:rPr>
          <w:rFonts w:ascii="Garamond" w:hAnsi="Garamond"/>
          <w:sz w:val="28"/>
          <w:szCs w:val="28"/>
        </w:rPr>
        <w:t xml:space="preserve"> para solucionar los problemas </w:t>
      </w:r>
      <w:r w:rsidR="008E5DFC">
        <w:rPr>
          <w:rFonts w:ascii="Garamond" w:hAnsi="Garamond"/>
          <w:sz w:val="28"/>
          <w:szCs w:val="28"/>
        </w:rPr>
        <w:t xml:space="preserve">vinculados a </w:t>
      </w:r>
      <w:r w:rsidR="00F80E4A" w:rsidRPr="00BC2647">
        <w:rPr>
          <w:rFonts w:ascii="Garamond" w:hAnsi="Garamond"/>
          <w:sz w:val="28"/>
          <w:szCs w:val="28"/>
        </w:rPr>
        <w:t>estos derechos sociales</w:t>
      </w:r>
      <w:r w:rsidR="008E5DFC">
        <w:rPr>
          <w:rFonts w:ascii="Garamond" w:hAnsi="Garamond"/>
          <w:sz w:val="28"/>
          <w:szCs w:val="28"/>
        </w:rPr>
        <w:t xml:space="preserve"> no puede ser </w:t>
      </w:r>
      <w:r w:rsidRPr="00BC2647">
        <w:rPr>
          <w:rFonts w:ascii="Garamond" w:hAnsi="Garamond"/>
          <w:sz w:val="28"/>
          <w:szCs w:val="28"/>
        </w:rPr>
        <w:t>traslada</w:t>
      </w:r>
      <w:r w:rsidR="008E5DFC">
        <w:rPr>
          <w:rFonts w:ascii="Garamond" w:hAnsi="Garamond"/>
          <w:sz w:val="28"/>
          <w:szCs w:val="28"/>
        </w:rPr>
        <w:t>da</w:t>
      </w:r>
      <w:r w:rsidRPr="00BC2647">
        <w:rPr>
          <w:rFonts w:ascii="Garamond" w:hAnsi="Garamond"/>
          <w:sz w:val="28"/>
          <w:szCs w:val="28"/>
        </w:rPr>
        <w:t xml:space="preserve"> a nuestros jueces</w:t>
      </w:r>
      <w:r w:rsidR="00BF1999">
        <w:rPr>
          <w:rFonts w:ascii="Garamond" w:hAnsi="Garamond"/>
          <w:sz w:val="28"/>
          <w:szCs w:val="28"/>
        </w:rPr>
        <w:t>,</w:t>
      </w:r>
      <w:r w:rsidR="00F80E4A" w:rsidRPr="00BC2647">
        <w:rPr>
          <w:rFonts w:ascii="Garamond" w:hAnsi="Garamond"/>
          <w:sz w:val="28"/>
          <w:szCs w:val="28"/>
        </w:rPr>
        <w:t xml:space="preserve"> sin advertir el riesgo que </w:t>
      </w:r>
      <w:r w:rsidR="00BF1999">
        <w:rPr>
          <w:rFonts w:ascii="Garamond" w:hAnsi="Garamond"/>
          <w:sz w:val="28"/>
          <w:szCs w:val="28"/>
        </w:rPr>
        <w:t>esto significa en</w:t>
      </w:r>
      <w:r w:rsidR="00F80E4A" w:rsidRPr="00BC2647">
        <w:rPr>
          <w:rFonts w:ascii="Garamond" w:hAnsi="Garamond"/>
          <w:sz w:val="28"/>
          <w:szCs w:val="28"/>
        </w:rPr>
        <w:t xml:space="preserve"> el funcionamiento del Poder Judicial</w:t>
      </w:r>
      <w:r w:rsidRPr="00BC2647">
        <w:rPr>
          <w:rFonts w:ascii="Garamond" w:hAnsi="Garamond"/>
          <w:sz w:val="28"/>
          <w:szCs w:val="28"/>
        </w:rPr>
        <w:t>.</w:t>
      </w:r>
    </w:p>
    <w:p w14:paraId="3D75E52A" w14:textId="77777777" w:rsidR="008C2D8A" w:rsidRDefault="00883BB4" w:rsidP="008C2D8A">
      <w:pPr>
        <w:ind w:firstLine="708"/>
        <w:jc w:val="both"/>
        <w:rPr>
          <w:rFonts w:ascii="Garamond" w:hAnsi="Garamond"/>
          <w:sz w:val="28"/>
          <w:szCs w:val="28"/>
        </w:rPr>
      </w:pPr>
      <w:r w:rsidRPr="00BC2647">
        <w:rPr>
          <w:rFonts w:ascii="Garamond" w:hAnsi="Garamond"/>
          <w:sz w:val="28"/>
          <w:szCs w:val="28"/>
        </w:rPr>
        <w:t xml:space="preserve">Mirado desde otro punto de vista, </w:t>
      </w:r>
      <w:r w:rsidR="006B5B6D" w:rsidRPr="00BC2647">
        <w:rPr>
          <w:rFonts w:ascii="Garamond" w:hAnsi="Garamond"/>
          <w:sz w:val="28"/>
          <w:szCs w:val="28"/>
        </w:rPr>
        <w:t xml:space="preserve">existe </w:t>
      </w:r>
      <w:r w:rsidR="008C2D8A">
        <w:rPr>
          <w:rFonts w:ascii="Garamond" w:hAnsi="Garamond"/>
          <w:sz w:val="28"/>
          <w:szCs w:val="28"/>
        </w:rPr>
        <w:t xml:space="preserve">también </w:t>
      </w:r>
      <w:r w:rsidRPr="00BC2647">
        <w:rPr>
          <w:rFonts w:ascii="Garamond" w:hAnsi="Garamond"/>
          <w:sz w:val="28"/>
          <w:szCs w:val="28"/>
        </w:rPr>
        <w:t xml:space="preserve">la posibilidad que frente a este diseño </w:t>
      </w:r>
      <w:r w:rsidR="008C2D8A">
        <w:rPr>
          <w:rFonts w:ascii="Garamond" w:hAnsi="Garamond"/>
          <w:sz w:val="28"/>
          <w:szCs w:val="28"/>
        </w:rPr>
        <w:t xml:space="preserve">algunos </w:t>
      </w:r>
      <w:r w:rsidRPr="00BC2647">
        <w:rPr>
          <w:rFonts w:ascii="Garamond" w:hAnsi="Garamond"/>
          <w:sz w:val="28"/>
          <w:szCs w:val="28"/>
        </w:rPr>
        <w:t>jueces</w:t>
      </w:r>
      <w:r w:rsidR="008C2D8A">
        <w:rPr>
          <w:rFonts w:ascii="Garamond" w:hAnsi="Garamond"/>
          <w:sz w:val="28"/>
          <w:szCs w:val="28"/>
        </w:rPr>
        <w:t xml:space="preserve">, </w:t>
      </w:r>
      <w:r w:rsidR="006B5B6D" w:rsidRPr="00BC2647">
        <w:rPr>
          <w:rFonts w:ascii="Garamond" w:hAnsi="Garamond"/>
          <w:sz w:val="28"/>
          <w:szCs w:val="28"/>
        </w:rPr>
        <w:t>para evitarse problemas</w:t>
      </w:r>
      <w:r w:rsidR="008C2D8A">
        <w:rPr>
          <w:rFonts w:ascii="Garamond" w:hAnsi="Garamond"/>
          <w:sz w:val="28"/>
          <w:szCs w:val="28"/>
        </w:rPr>
        <w:t>,</w:t>
      </w:r>
      <w:r w:rsidR="006B5B6D" w:rsidRPr="00BC2647">
        <w:rPr>
          <w:rFonts w:ascii="Garamond" w:hAnsi="Garamond"/>
          <w:sz w:val="28"/>
          <w:szCs w:val="28"/>
        </w:rPr>
        <w:t xml:space="preserve"> </w:t>
      </w:r>
      <w:r w:rsidRPr="00BC2647">
        <w:rPr>
          <w:rFonts w:ascii="Garamond" w:hAnsi="Garamond"/>
          <w:sz w:val="28"/>
          <w:szCs w:val="28"/>
        </w:rPr>
        <w:t>apliquen el adagio: “si no puedes contra ellos, úneteles”</w:t>
      </w:r>
      <w:r w:rsidR="006B5B6D" w:rsidRPr="00BC2647">
        <w:rPr>
          <w:rFonts w:ascii="Garamond" w:hAnsi="Garamond"/>
          <w:sz w:val="28"/>
          <w:szCs w:val="28"/>
        </w:rPr>
        <w:t xml:space="preserve">, y </w:t>
      </w:r>
      <w:r w:rsidR="00F80E4A" w:rsidRPr="00BC2647">
        <w:rPr>
          <w:rFonts w:ascii="Garamond" w:hAnsi="Garamond"/>
          <w:sz w:val="28"/>
          <w:szCs w:val="28"/>
        </w:rPr>
        <w:t xml:space="preserve">se animen a pronunciar </w:t>
      </w:r>
      <w:r w:rsidR="006B5B6D" w:rsidRPr="00BC2647">
        <w:rPr>
          <w:rFonts w:ascii="Garamond" w:hAnsi="Garamond"/>
          <w:sz w:val="28"/>
          <w:szCs w:val="28"/>
        </w:rPr>
        <w:t xml:space="preserve">sentencias </w:t>
      </w:r>
      <w:r w:rsidR="008C2D8A">
        <w:rPr>
          <w:rFonts w:ascii="Garamond" w:hAnsi="Garamond"/>
          <w:sz w:val="28"/>
          <w:szCs w:val="28"/>
        </w:rPr>
        <w:t xml:space="preserve">de corte </w:t>
      </w:r>
      <w:r w:rsidR="006B5B6D" w:rsidRPr="00BC2647">
        <w:rPr>
          <w:rFonts w:ascii="Garamond" w:hAnsi="Garamond"/>
          <w:sz w:val="28"/>
          <w:szCs w:val="28"/>
        </w:rPr>
        <w:t>populistas</w:t>
      </w:r>
      <w:r w:rsidR="00F80E4A" w:rsidRPr="00BC2647">
        <w:rPr>
          <w:rFonts w:ascii="Garamond" w:hAnsi="Garamond"/>
          <w:sz w:val="28"/>
          <w:szCs w:val="28"/>
        </w:rPr>
        <w:t>, aunque sean</w:t>
      </w:r>
      <w:r w:rsidR="006B5B6D" w:rsidRPr="00BC2647">
        <w:rPr>
          <w:rFonts w:ascii="Garamond" w:hAnsi="Garamond"/>
          <w:sz w:val="28"/>
          <w:szCs w:val="28"/>
        </w:rPr>
        <w:t xml:space="preserve"> imposibles de cumplir</w:t>
      </w:r>
      <w:r w:rsidR="00F80E4A" w:rsidRPr="00BC2647">
        <w:rPr>
          <w:rFonts w:ascii="Garamond" w:hAnsi="Garamond"/>
          <w:sz w:val="28"/>
          <w:szCs w:val="28"/>
        </w:rPr>
        <w:t xml:space="preserve"> o que pongan en riesgo de subsistencia a una determinada actividad</w:t>
      </w:r>
      <w:r w:rsidRPr="00BC2647">
        <w:rPr>
          <w:rFonts w:ascii="Garamond" w:hAnsi="Garamond"/>
          <w:sz w:val="28"/>
          <w:szCs w:val="28"/>
        </w:rPr>
        <w:t>.</w:t>
      </w:r>
    </w:p>
    <w:p w14:paraId="117B4430" w14:textId="74844110" w:rsidR="0064685F" w:rsidRDefault="008C2D8A" w:rsidP="003D0643">
      <w:pPr>
        <w:ind w:firstLine="708"/>
        <w:jc w:val="both"/>
        <w:rPr>
          <w:rFonts w:ascii="Garamond" w:hAnsi="Garamond"/>
          <w:sz w:val="28"/>
          <w:szCs w:val="28"/>
        </w:rPr>
      </w:pPr>
      <w:r>
        <w:rPr>
          <w:rFonts w:ascii="Garamond" w:hAnsi="Garamond"/>
          <w:sz w:val="28"/>
          <w:szCs w:val="28"/>
        </w:rPr>
        <w:t>A lo anterior se suma que l</w:t>
      </w:r>
      <w:r w:rsidR="0064685F" w:rsidRPr="00BC2647">
        <w:rPr>
          <w:rFonts w:ascii="Garamond" w:hAnsi="Garamond"/>
          <w:sz w:val="28"/>
          <w:szCs w:val="28"/>
        </w:rPr>
        <w:t xml:space="preserve">a incorporación de esta acción </w:t>
      </w:r>
      <w:r w:rsidR="00373ED9" w:rsidRPr="00BC2647">
        <w:rPr>
          <w:rFonts w:ascii="Garamond" w:hAnsi="Garamond"/>
          <w:sz w:val="28"/>
          <w:szCs w:val="28"/>
        </w:rPr>
        <w:t xml:space="preserve">colectiva </w:t>
      </w:r>
      <w:r w:rsidR="0064685F" w:rsidRPr="00BC2647">
        <w:rPr>
          <w:rFonts w:ascii="Garamond" w:hAnsi="Garamond"/>
          <w:sz w:val="28"/>
          <w:szCs w:val="28"/>
        </w:rPr>
        <w:t>dará lugar</w:t>
      </w:r>
      <w:r w:rsidR="006B5B6D" w:rsidRPr="00BC2647">
        <w:rPr>
          <w:rFonts w:ascii="Garamond" w:hAnsi="Garamond"/>
          <w:sz w:val="28"/>
          <w:szCs w:val="28"/>
        </w:rPr>
        <w:t>,</w:t>
      </w:r>
      <w:r w:rsidR="0064685F" w:rsidRPr="00BC2647">
        <w:rPr>
          <w:rFonts w:ascii="Garamond" w:hAnsi="Garamond"/>
          <w:sz w:val="28"/>
          <w:szCs w:val="28"/>
        </w:rPr>
        <w:t xml:space="preserve"> cuando los jueces se niegue</w:t>
      </w:r>
      <w:r w:rsidR="006B5B6D" w:rsidRPr="00BC2647">
        <w:rPr>
          <w:rFonts w:ascii="Garamond" w:hAnsi="Garamond"/>
          <w:sz w:val="28"/>
          <w:szCs w:val="28"/>
        </w:rPr>
        <w:t>n</w:t>
      </w:r>
      <w:r w:rsidR="00F80E4A" w:rsidRPr="00BC2647">
        <w:rPr>
          <w:rFonts w:ascii="Garamond" w:hAnsi="Garamond"/>
          <w:sz w:val="28"/>
          <w:szCs w:val="28"/>
        </w:rPr>
        <w:t xml:space="preserve"> a amparar</w:t>
      </w:r>
      <w:r w:rsidR="006B5B6D" w:rsidRPr="00BC2647">
        <w:rPr>
          <w:rFonts w:ascii="Garamond" w:hAnsi="Garamond"/>
          <w:sz w:val="28"/>
          <w:szCs w:val="28"/>
        </w:rPr>
        <w:t xml:space="preserve"> estos derechos, </w:t>
      </w:r>
      <w:r w:rsidR="00F80E4A" w:rsidRPr="00BC2647">
        <w:rPr>
          <w:rFonts w:ascii="Garamond" w:hAnsi="Garamond"/>
          <w:sz w:val="28"/>
          <w:szCs w:val="28"/>
        </w:rPr>
        <w:t xml:space="preserve">para demandar a </w:t>
      </w:r>
      <w:r w:rsidR="00373ED9" w:rsidRPr="00BC2647">
        <w:rPr>
          <w:rFonts w:ascii="Garamond" w:hAnsi="Garamond"/>
          <w:sz w:val="28"/>
          <w:szCs w:val="28"/>
        </w:rPr>
        <w:t xml:space="preserve">Chile en </w:t>
      </w:r>
      <w:r w:rsidR="0064685F" w:rsidRPr="00BC2647">
        <w:rPr>
          <w:rFonts w:ascii="Garamond" w:hAnsi="Garamond"/>
          <w:sz w:val="28"/>
          <w:szCs w:val="28"/>
        </w:rPr>
        <w:t xml:space="preserve">el sistema interamericano de protección de Derechos Humanos. </w:t>
      </w:r>
      <w:r w:rsidR="003D0643">
        <w:rPr>
          <w:rFonts w:ascii="Garamond" w:hAnsi="Garamond"/>
          <w:sz w:val="28"/>
          <w:szCs w:val="28"/>
        </w:rPr>
        <w:t>L</w:t>
      </w:r>
      <w:r w:rsidR="0064685F" w:rsidRPr="00BC2647">
        <w:rPr>
          <w:rFonts w:ascii="Garamond" w:hAnsi="Garamond"/>
          <w:sz w:val="28"/>
          <w:szCs w:val="28"/>
        </w:rPr>
        <w:t xml:space="preserve">a negativa </w:t>
      </w:r>
      <w:r w:rsidR="00F80E4A" w:rsidRPr="00BC2647">
        <w:rPr>
          <w:rFonts w:ascii="Garamond" w:hAnsi="Garamond"/>
          <w:sz w:val="28"/>
          <w:szCs w:val="28"/>
        </w:rPr>
        <w:t xml:space="preserve">de la judicatura </w:t>
      </w:r>
      <w:r w:rsidR="0064685F" w:rsidRPr="00BC2647">
        <w:rPr>
          <w:rFonts w:ascii="Garamond" w:hAnsi="Garamond"/>
          <w:sz w:val="28"/>
          <w:szCs w:val="28"/>
        </w:rPr>
        <w:t xml:space="preserve">será reclamada ante la Corte Interamericana, </w:t>
      </w:r>
      <w:r w:rsidR="00F80E4A" w:rsidRPr="00BC2647">
        <w:rPr>
          <w:rFonts w:ascii="Garamond" w:hAnsi="Garamond"/>
          <w:sz w:val="28"/>
          <w:szCs w:val="28"/>
        </w:rPr>
        <w:t xml:space="preserve">la </w:t>
      </w:r>
      <w:r w:rsidR="0064685F" w:rsidRPr="00BC2647">
        <w:rPr>
          <w:rFonts w:ascii="Garamond" w:hAnsi="Garamond"/>
          <w:sz w:val="28"/>
          <w:szCs w:val="28"/>
        </w:rPr>
        <w:t xml:space="preserve">que </w:t>
      </w:r>
      <w:r w:rsidR="00373ED9" w:rsidRPr="00BC2647">
        <w:rPr>
          <w:rFonts w:ascii="Garamond" w:hAnsi="Garamond"/>
          <w:sz w:val="28"/>
          <w:szCs w:val="28"/>
        </w:rPr>
        <w:t>obligará a</w:t>
      </w:r>
      <w:r w:rsidR="00870F86" w:rsidRPr="00BC2647">
        <w:rPr>
          <w:rFonts w:ascii="Garamond" w:hAnsi="Garamond"/>
          <w:sz w:val="28"/>
          <w:szCs w:val="28"/>
        </w:rPr>
        <w:t xml:space="preserve">l </w:t>
      </w:r>
      <w:r w:rsidR="0064685F" w:rsidRPr="00BC2647">
        <w:rPr>
          <w:rFonts w:ascii="Garamond" w:hAnsi="Garamond"/>
          <w:sz w:val="28"/>
          <w:szCs w:val="28"/>
        </w:rPr>
        <w:t xml:space="preserve">Estado de Chile </w:t>
      </w:r>
      <w:r w:rsidR="00C66D3A" w:rsidRPr="00BC2647">
        <w:rPr>
          <w:rFonts w:ascii="Garamond" w:hAnsi="Garamond"/>
          <w:sz w:val="28"/>
          <w:szCs w:val="28"/>
        </w:rPr>
        <w:t xml:space="preserve">a adoptar las medidas para </w:t>
      </w:r>
      <w:r w:rsidR="00870F86" w:rsidRPr="00BC2647">
        <w:rPr>
          <w:rFonts w:ascii="Garamond" w:hAnsi="Garamond"/>
          <w:sz w:val="28"/>
          <w:szCs w:val="28"/>
        </w:rPr>
        <w:t>la protección de estos derechos económicos y sociales</w:t>
      </w:r>
      <w:r w:rsidR="003D0643">
        <w:rPr>
          <w:rFonts w:ascii="Garamond" w:hAnsi="Garamond"/>
          <w:sz w:val="28"/>
          <w:szCs w:val="28"/>
        </w:rPr>
        <w:t>, con todo lo que ello involucra</w:t>
      </w:r>
      <w:r w:rsidR="00870F86" w:rsidRPr="00BC2647">
        <w:rPr>
          <w:rFonts w:ascii="Garamond" w:hAnsi="Garamond"/>
          <w:sz w:val="28"/>
          <w:szCs w:val="28"/>
        </w:rPr>
        <w:t xml:space="preserve">. </w:t>
      </w:r>
      <w:r w:rsidR="0064685F" w:rsidRPr="00BC2647">
        <w:rPr>
          <w:rFonts w:ascii="Garamond" w:hAnsi="Garamond"/>
          <w:sz w:val="28"/>
          <w:szCs w:val="28"/>
        </w:rPr>
        <w:t xml:space="preserve"> </w:t>
      </w:r>
    </w:p>
    <w:p w14:paraId="60DEAA64" w14:textId="21C1760B" w:rsidR="003D0643" w:rsidRDefault="003D0643" w:rsidP="003D0643">
      <w:pPr>
        <w:ind w:firstLine="708"/>
        <w:jc w:val="both"/>
        <w:rPr>
          <w:rFonts w:ascii="Garamond" w:hAnsi="Garamond"/>
          <w:b/>
          <w:bCs/>
          <w:sz w:val="28"/>
          <w:szCs w:val="28"/>
        </w:rPr>
      </w:pPr>
      <w:r>
        <w:rPr>
          <w:rFonts w:ascii="Garamond" w:hAnsi="Garamond"/>
          <w:b/>
          <w:bCs/>
          <w:sz w:val="28"/>
          <w:szCs w:val="28"/>
        </w:rPr>
        <w:t xml:space="preserve">Los problemas de las acciones colectivas </w:t>
      </w:r>
    </w:p>
    <w:p w14:paraId="1A28E2E6" w14:textId="77777777" w:rsidR="00F94360" w:rsidRDefault="00F94360" w:rsidP="00F94360">
      <w:pPr>
        <w:ind w:firstLine="708"/>
        <w:jc w:val="both"/>
        <w:rPr>
          <w:rFonts w:ascii="Garamond" w:hAnsi="Garamond"/>
          <w:sz w:val="28"/>
          <w:szCs w:val="28"/>
        </w:rPr>
      </w:pPr>
      <w:r>
        <w:rPr>
          <w:rFonts w:ascii="Garamond" w:hAnsi="Garamond"/>
          <w:sz w:val="28"/>
          <w:szCs w:val="28"/>
        </w:rPr>
        <w:t>L</w:t>
      </w:r>
      <w:r w:rsidR="001B1BC5" w:rsidRPr="00BC2647">
        <w:rPr>
          <w:rFonts w:ascii="Garamond" w:hAnsi="Garamond"/>
          <w:sz w:val="28"/>
          <w:szCs w:val="28"/>
        </w:rPr>
        <w:t xml:space="preserve">a norma eleva a rango constitucional la protección de conflictos que atañen a una pluralidad de sujetos, </w:t>
      </w:r>
      <w:r w:rsidR="00893256" w:rsidRPr="00BC2647">
        <w:rPr>
          <w:rFonts w:ascii="Garamond" w:hAnsi="Garamond"/>
          <w:sz w:val="28"/>
          <w:szCs w:val="28"/>
        </w:rPr>
        <w:t xml:space="preserve">y </w:t>
      </w:r>
      <w:r w:rsidR="001B1BC5" w:rsidRPr="00BC2647">
        <w:rPr>
          <w:rFonts w:ascii="Garamond" w:hAnsi="Garamond"/>
          <w:sz w:val="28"/>
          <w:szCs w:val="28"/>
        </w:rPr>
        <w:t xml:space="preserve">que puede sumar a millones de personas. </w:t>
      </w:r>
    </w:p>
    <w:p w14:paraId="70092B58" w14:textId="77777777" w:rsidR="009137A7" w:rsidRDefault="00F80E4A" w:rsidP="00F94360">
      <w:pPr>
        <w:ind w:firstLine="708"/>
        <w:jc w:val="both"/>
        <w:rPr>
          <w:rFonts w:ascii="Garamond" w:hAnsi="Garamond"/>
          <w:sz w:val="28"/>
          <w:szCs w:val="28"/>
        </w:rPr>
      </w:pPr>
      <w:r w:rsidRPr="00BC2647">
        <w:rPr>
          <w:rFonts w:ascii="Garamond" w:hAnsi="Garamond"/>
          <w:sz w:val="28"/>
          <w:szCs w:val="28"/>
        </w:rPr>
        <w:t>L</w:t>
      </w:r>
      <w:r w:rsidR="001B1BC5" w:rsidRPr="00BC2647">
        <w:rPr>
          <w:rFonts w:ascii="Garamond" w:hAnsi="Garamond"/>
          <w:sz w:val="28"/>
          <w:szCs w:val="28"/>
        </w:rPr>
        <w:t xml:space="preserve">o normal </w:t>
      </w:r>
      <w:r w:rsidRPr="00BC2647">
        <w:rPr>
          <w:rFonts w:ascii="Garamond" w:hAnsi="Garamond"/>
          <w:sz w:val="28"/>
          <w:szCs w:val="28"/>
        </w:rPr>
        <w:t xml:space="preserve">en el caso de los derechos colectivos </w:t>
      </w:r>
      <w:r w:rsidR="001B1BC5" w:rsidRPr="00BC2647">
        <w:rPr>
          <w:rFonts w:ascii="Garamond" w:hAnsi="Garamond"/>
          <w:sz w:val="28"/>
          <w:szCs w:val="28"/>
        </w:rPr>
        <w:t xml:space="preserve">ha sido </w:t>
      </w:r>
      <w:r w:rsidR="00893256" w:rsidRPr="00BC2647">
        <w:rPr>
          <w:rFonts w:ascii="Garamond" w:hAnsi="Garamond"/>
          <w:sz w:val="28"/>
          <w:szCs w:val="28"/>
        </w:rPr>
        <w:t xml:space="preserve">proponer </w:t>
      </w:r>
      <w:r w:rsidR="001B1BC5" w:rsidRPr="00BC2647">
        <w:rPr>
          <w:rFonts w:ascii="Garamond" w:hAnsi="Garamond"/>
          <w:sz w:val="28"/>
          <w:szCs w:val="28"/>
        </w:rPr>
        <w:t>diseños jurídicos</w:t>
      </w:r>
      <w:r w:rsidR="00893256" w:rsidRPr="00BC2647">
        <w:rPr>
          <w:rFonts w:ascii="Garamond" w:hAnsi="Garamond"/>
          <w:sz w:val="28"/>
          <w:szCs w:val="28"/>
        </w:rPr>
        <w:t xml:space="preserve"> para </w:t>
      </w:r>
      <w:r w:rsidR="001B1BC5" w:rsidRPr="00BC2647">
        <w:rPr>
          <w:rFonts w:ascii="Garamond" w:hAnsi="Garamond"/>
          <w:sz w:val="28"/>
          <w:szCs w:val="28"/>
        </w:rPr>
        <w:t xml:space="preserve">proteger un derecho o interés que pertenece a un grupo de personas, </w:t>
      </w:r>
      <w:r w:rsidR="001B1BC5" w:rsidRPr="00BC2647">
        <w:rPr>
          <w:rFonts w:ascii="Garamond" w:hAnsi="Garamond"/>
          <w:sz w:val="28"/>
          <w:szCs w:val="28"/>
        </w:rPr>
        <w:lastRenderedPageBreak/>
        <w:t xml:space="preserve">como son los consumidores, o que no pertenece a nadie en concreto, como el medio ambiente. </w:t>
      </w:r>
      <w:r w:rsidRPr="00BC2647">
        <w:rPr>
          <w:rFonts w:ascii="Garamond" w:hAnsi="Garamond"/>
          <w:sz w:val="28"/>
          <w:szCs w:val="28"/>
        </w:rPr>
        <w:t>En este caso</w:t>
      </w:r>
      <w:r w:rsidR="00AC372C">
        <w:rPr>
          <w:rFonts w:ascii="Garamond" w:hAnsi="Garamond"/>
          <w:sz w:val="28"/>
          <w:szCs w:val="28"/>
        </w:rPr>
        <w:t>,</w:t>
      </w:r>
      <w:r w:rsidRPr="00BC2647">
        <w:rPr>
          <w:rFonts w:ascii="Garamond" w:hAnsi="Garamond"/>
          <w:sz w:val="28"/>
          <w:szCs w:val="28"/>
        </w:rPr>
        <w:t xml:space="preserve"> por la amplitud de los derechos que abarca</w:t>
      </w:r>
      <w:r w:rsidR="00AC372C">
        <w:rPr>
          <w:rFonts w:ascii="Garamond" w:hAnsi="Garamond"/>
          <w:sz w:val="28"/>
          <w:szCs w:val="28"/>
        </w:rPr>
        <w:t xml:space="preserve"> la norma constitucional</w:t>
      </w:r>
      <w:r w:rsidRPr="00BC2647">
        <w:rPr>
          <w:rFonts w:ascii="Garamond" w:hAnsi="Garamond"/>
          <w:sz w:val="28"/>
          <w:szCs w:val="28"/>
        </w:rPr>
        <w:t xml:space="preserve"> </w:t>
      </w:r>
      <w:r w:rsidR="00AD25C2" w:rsidRPr="00BC2647">
        <w:rPr>
          <w:rFonts w:ascii="Garamond" w:hAnsi="Garamond"/>
          <w:sz w:val="28"/>
          <w:szCs w:val="28"/>
        </w:rPr>
        <w:t xml:space="preserve">avanzaremos </w:t>
      </w:r>
      <w:r w:rsidR="00821110" w:rsidRPr="00BC2647">
        <w:rPr>
          <w:rFonts w:ascii="Garamond" w:hAnsi="Garamond"/>
          <w:sz w:val="28"/>
          <w:szCs w:val="28"/>
        </w:rPr>
        <w:t>a</w:t>
      </w:r>
      <w:r w:rsidR="00893256" w:rsidRPr="00BC2647">
        <w:rPr>
          <w:rFonts w:ascii="Garamond" w:hAnsi="Garamond"/>
          <w:sz w:val="28"/>
          <w:szCs w:val="28"/>
        </w:rPr>
        <w:t xml:space="preserve"> </w:t>
      </w:r>
      <w:r w:rsidR="00AD25C2" w:rsidRPr="00BC2647">
        <w:rPr>
          <w:rFonts w:ascii="Garamond" w:hAnsi="Garamond"/>
          <w:sz w:val="28"/>
          <w:szCs w:val="28"/>
        </w:rPr>
        <w:t xml:space="preserve">un populismo que terminará por afectar el equilibrio fiscal que </w:t>
      </w:r>
      <w:r w:rsidR="00893256" w:rsidRPr="00BC2647">
        <w:rPr>
          <w:rFonts w:ascii="Garamond" w:hAnsi="Garamond"/>
          <w:sz w:val="28"/>
          <w:szCs w:val="28"/>
        </w:rPr>
        <w:t xml:space="preserve">reclama </w:t>
      </w:r>
      <w:r w:rsidR="00AD25C2" w:rsidRPr="00BC2647">
        <w:rPr>
          <w:rFonts w:ascii="Garamond" w:hAnsi="Garamond"/>
          <w:sz w:val="28"/>
          <w:szCs w:val="28"/>
        </w:rPr>
        <w:t>el bien común</w:t>
      </w:r>
      <w:r w:rsidR="00821110" w:rsidRPr="00BC2647">
        <w:rPr>
          <w:rFonts w:ascii="Garamond" w:hAnsi="Garamond"/>
          <w:sz w:val="28"/>
          <w:szCs w:val="28"/>
        </w:rPr>
        <w:t xml:space="preserve">. </w:t>
      </w:r>
    </w:p>
    <w:p w14:paraId="651AFF2E" w14:textId="6B76A1BE" w:rsidR="004A6BEA" w:rsidRDefault="00AC5984" w:rsidP="008E4AA3">
      <w:pPr>
        <w:ind w:firstLine="708"/>
        <w:jc w:val="both"/>
        <w:rPr>
          <w:rFonts w:ascii="Garamond" w:hAnsi="Garamond"/>
          <w:b/>
          <w:bCs/>
          <w:sz w:val="28"/>
          <w:szCs w:val="28"/>
        </w:rPr>
      </w:pPr>
      <w:r>
        <w:rPr>
          <w:rFonts w:ascii="Garamond" w:hAnsi="Garamond"/>
          <w:sz w:val="28"/>
          <w:szCs w:val="28"/>
        </w:rPr>
        <w:t>No se debe descartar el</w:t>
      </w:r>
      <w:r w:rsidR="00821110" w:rsidRPr="00BC2647">
        <w:rPr>
          <w:rFonts w:ascii="Garamond" w:hAnsi="Garamond"/>
          <w:sz w:val="28"/>
          <w:szCs w:val="28"/>
        </w:rPr>
        <w:t xml:space="preserve"> riesgo </w:t>
      </w:r>
      <w:r>
        <w:rPr>
          <w:rFonts w:ascii="Garamond" w:hAnsi="Garamond"/>
          <w:sz w:val="28"/>
          <w:szCs w:val="28"/>
        </w:rPr>
        <w:t xml:space="preserve">a </w:t>
      </w:r>
      <w:r w:rsidR="00893256" w:rsidRPr="00BC2647">
        <w:rPr>
          <w:rFonts w:ascii="Garamond" w:hAnsi="Garamond"/>
          <w:sz w:val="28"/>
          <w:szCs w:val="28"/>
        </w:rPr>
        <w:t>la estabilidad del sistema democrático</w:t>
      </w:r>
      <w:r>
        <w:rPr>
          <w:rFonts w:ascii="Garamond" w:hAnsi="Garamond"/>
          <w:sz w:val="28"/>
          <w:szCs w:val="28"/>
        </w:rPr>
        <w:t>,</w:t>
      </w:r>
      <w:r w:rsidR="00F80E4A" w:rsidRPr="00BC2647">
        <w:rPr>
          <w:rFonts w:ascii="Garamond" w:hAnsi="Garamond"/>
          <w:sz w:val="28"/>
          <w:szCs w:val="28"/>
        </w:rPr>
        <w:t xml:space="preserve"> por el desprestigio que </w:t>
      </w:r>
      <w:r>
        <w:rPr>
          <w:rFonts w:ascii="Garamond" w:hAnsi="Garamond"/>
          <w:sz w:val="28"/>
          <w:szCs w:val="28"/>
        </w:rPr>
        <w:t>si</w:t>
      </w:r>
      <w:r w:rsidR="00F80E4A" w:rsidRPr="00BC2647">
        <w:rPr>
          <w:rFonts w:ascii="Garamond" w:hAnsi="Garamond"/>
          <w:sz w:val="28"/>
          <w:szCs w:val="28"/>
        </w:rPr>
        <w:t>gnifica reconocer derechos que no se satisfacen efectivamente</w:t>
      </w:r>
      <w:r w:rsidR="00AD25C2" w:rsidRPr="00BC2647">
        <w:rPr>
          <w:rFonts w:ascii="Garamond" w:hAnsi="Garamond"/>
          <w:sz w:val="28"/>
          <w:szCs w:val="28"/>
        </w:rPr>
        <w:t>.</w:t>
      </w:r>
    </w:p>
    <w:p w14:paraId="22226597" w14:textId="70F684DF" w:rsidR="00AC26F5" w:rsidRPr="00BC2647" w:rsidRDefault="004A6BEA" w:rsidP="004A6BEA">
      <w:pPr>
        <w:ind w:firstLine="708"/>
        <w:jc w:val="both"/>
        <w:rPr>
          <w:rFonts w:ascii="Garamond" w:hAnsi="Garamond"/>
          <w:b/>
          <w:bCs/>
          <w:sz w:val="28"/>
          <w:szCs w:val="28"/>
        </w:rPr>
      </w:pPr>
      <w:r>
        <w:rPr>
          <w:rFonts w:ascii="Garamond" w:hAnsi="Garamond"/>
          <w:b/>
          <w:bCs/>
          <w:sz w:val="28"/>
          <w:szCs w:val="28"/>
        </w:rPr>
        <w:t>El riesgo para las actividades privadas</w:t>
      </w:r>
    </w:p>
    <w:p w14:paraId="6E98243A" w14:textId="77777777" w:rsidR="00337C39" w:rsidRDefault="004A6BEA" w:rsidP="004A6BEA">
      <w:pPr>
        <w:ind w:firstLine="708"/>
        <w:jc w:val="both"/>
        <w:rPr>
          <w:rFonts w:ascii="Garamond" w:hAnsi="Garamond"/>
          <w:sz w:val="28"/>
          <w:szCs w:val="28"/>
        </w:rPr>
      </w:pPr>
      <w:r>
        <w:rPr>
          <w:rFonts w:ascii="Garamond" w:hAnsi="Garamond"/>
          <w:sz w:val="28"/>
          <w:szCs w:val="28"/>
        </w:rPr>
        <w:t>N</w:t>
      </w:r>
      <w:r w:rsidR="00AD25C2" w:rsidRPr="00BC2647">
        <w:rPr>
          <w:rFonts w:ascii="Garamond" w:hAnsi="Garamond"/>
          <w:sz w:val="28"/>
          <w:szCs w:val="28"/>
        </w:rPr>
        <w:t xml:space="preserve">o se debe descartar que </w:t>
      </w:r>
      <w:r w:rsidR="00821110" w:rsidRPr="00BC2647">
        <w:rPr>
          <w:rFonts w:ascii="Garamond" w:hAnsi="Garamond"/>
          <w:sz w:val="28"/>
          <w:szCs w:val="28"/>
        </w:rPr>
        <w:t xml:space="preserve">este precepto permita que </w:t>
      </w:r>
      <w:r w:rsidR="00AD25C2" w:rsidRPr="00BC2647">
        <w:rPr>
          <w:rFonts w:ascii="Garamond" w:hAnsi="Garamond"/>
          <w:sz w:val="28"/>
          <w:szCs w:val="28"/>
        </w:rPr>
        <w:t xml:space="preserve">particulares puedan ser compelidos a realizar las prestaciones </w:t>
      </w:r>
      <w:r w:rsidR="00821110" w:rsidRPr="00BC2647">
        <w:rPr>
          <w:rFonts w:ascii="Garamond" w:hAnsi="Garamond"/>
          <w:sz w:val="28"/>
          <w:szCs w:val="28"/>
        </w:rPr>
        <w:t>vinculadas a los</w:t>
      </w:r>
      <w:r w:rsidR="00AD25C2" w:rsidRPr="00BC2647">
        <w:rPr>
          <w:rFonts w:ascii="Garamond" w:hAnsi="Garamond"/>
          <w:sz w:val="28"/>
          <w:szCs w:val="28"/>
        </w:rPr>
        <w:t xml:space="preserve"> derechos </w:t>
      </w:r>
      <w:r>
        <w:rPr>
          <w:rFonts w:ascii="Garamond" w:hAnsi="Garamond"/>
          <w:sz w:val="28"/>
          <w:szCs w:val="28"/>
        </w:rPr>
        <w:t xml:space="preserve">sociales </w:t>
      </w:r>
      <w:r w:rsidR="00821110" w:rsidRPr="00BC2647">
        <w:rPr>
          <w:rFonts w:ascii="Garamond" w:hAnsi="Garamond"/>
          <w:sz w:val="28"/>
          <w:szCs w:val="28"/>
        </w:rPr>
        <w:t xml:space="preserve">que comprende la norma. </w:t>
      </w:r>
    </w:p>
    <w:p w14:paraId="114A2CDD" w14:textId="77777777" w:rsidR="00337C39" w:rsidRDefault="00337C39" w:rsidP="00337C39">
      <w:pPr>
        <w:ind w:firstLine="708"/>
        <w:jc w:val="both"/>
        <w:rPr>
          <w:rFonts w:ascii="Garamond" w:hAnsi="Garamond"/>
          <w:sz w:val="28"/>
          <w:szCs w:val="28"/>
        </w:rPr>
      </w:pPr>
      <w:r>
        <w:rPr>
          <w:rFonts w:ascii="Garamond" w:hAnsi="Garamond"/>
          <w:sz w:val="28"/>
          <w:szCs w:val="28"/>
        </w:rPr>
        <w:t xml:space="preserve">Como se sabe, </w:t>
      </w:r>
      <w:r w:rsidR="00AD25C2" w:rsidRPr="00BC2647">
        <w:rPr>
          <w:rFonts w:ascii="Garamond" w:hAnsi="Garamond"/>
          <w:sz w:val="28"/>
          <w:szCs w:val="28"/>
        </w:rPr>
        <w:t xml:space="preserve">el recurso de protección en nuestro derecho </w:t>
      </w:r>
      <w:r w:rsidR="00893256" w:rsidRPr="00BC2647">
        <w:rPr>
          <w:rFonts w:ascii="Garamond" w:hAnsi="Garamond"/>
          <w:sz w:val="28"/>
          <w:szCs w:val="28"/>
        </w:rPr>
        <w:t>ha sido utilizado</w:t>
      </w:r>
      <w:r>
        <w:rPr>
          <w:rFonts w:ascii="Garamond" w:hAnsi="Garamond"/>
          <w:sz w:val="28"/>
          <w:szCs w:val="28"/>
        </w:rPr>
        <w:t xml:space="preserve"> también </w:t>
      </w:r>
      <w:r w:rsidR="00893256" w:rsidRPr="00BC2647">
        <w:rPr>
          <w:rFonts w:ascii="Garamond" w:hAnsi="Garamond"/>
          <w:sz w:val="28"/>
          <w:szCs w:val="28"/>
        </w:rPr>
        <w:t xml:space="preserve">contra entes públicos </w:t>
      </w:r>
      <w:r w:rsidR="00AD25C2" w:rsidRPr="00BC2647">
        <w:rPr>
          <w:rFonts w:ascii="Garamond" w:hAnsi="Garamond"/>
          <w:sz w:val="28"/>
          <w:szCs w:val="28"/>
        </w:rPr>
        <w:t>y privados que vulneran los derechos fundamentales.</w:t>
      </w:r>
      <w:r w:rsidR="00893256" w:rsidRPr="00BC2647">
        <w:rPr>
          <w:rFonts w:ascii="Garamond" w:hAnsi="Garamond"/>
          <w:sz w:val="28"/>
          <w:szCs w:val="28"/>
        </w:rPr>
        <w:t xml:space="preserve"> </w:t>
      </w:r>
    </w:p>
    <w:p w14:paraId="3103CBD2" w14:textId="77777777" w:rsidR="008E4AA3" w:rsidRDefault="005D7F76" w:rsidP="008E4AA3">
      <w:pPr>
        <w:ind w:firstLine="708"/>
        <w:jc w:val="both"/>
        <w:rPr>
          <w:rFonts w:ascii="Garamond" w:hAnsi="Garamond"/>
          <w:sz w:val="28"/>
          <w:szCs w:val="28"/>
        </w:rPr>
      </w:pPr>
      <w:r>
        <w:rPr>
          <w:rFonts w:ascii="Garamond" w:hAnsi="Garamond"/>
          <w:sz w:val="28"/>
          <w:szCs w:val="28"/>
        </w:rPr>
        <w:t>Al ser sujetos pasivos del recurso de protección los particulares</w:t>
      </w:r>
      <w:r w:rsidR="00DD5819">
        <w:rPr>
          <w:rFonts w:ascii="Garamond" w:hAnsi="Garamond"/>
          <w:sz w:val="28"/>
          <w:szCs w:val="28"/>
        </w:rPr>
        <w:t xml:space="preserve">, los que son proveedores de derechos sociales en materia de vivienda, salud, educación, pueden terminar siendo </w:t>
      </w:r>
      <w:r w:rsidR="00893256" w:rsidRPr="00BC2647">
        <w:rPr>
          <w:rFonts w:ascii="Garamond" w:hAnsi="Garamond"/>
          <w:sz w:val="28"/>
          <w:szCs w:val="28"/>
        </w:rPr>
        <w:t xml:space="preserve">compelidos a </w:t>
      </w:r>
      <w:r w:rsidR="00821110" w:rsidRPr="00BC2647">
        <w:rPr>
          <w:rFonts w:ascii="Garamond" w:hAnsi="Garamond"/>
          <w:sz w:val="28"/>
          <w:szCs w:val="28"/>
        </w:rPr>
        <w:t xml:space="preserve">realizar </w:t>
      </w:r>
      <w:r w:rsidR="00893256" w:rsidRPr="00BC2647">
        <w:rPr>
          <w:rFonts w:ascii="Garamond" w:hAnsi="Garamond"/>
          <w:sz w:val="28"/>
          <w:szCs w:val="28"/>
        </w:rPr>
        <w:t>prestaciones</w:t>
      </w:r>
      <w:r w:rsidR="008E4AA3">
        <w:rPr>
          <w:rFonts w:ascii="Garamond" w:hAnsi="Garamond"/>
          <w:sz w:val="28"/>
          <w:szCs w:val="28"/>
        </w:rPr>
        <w:t xml:space="preserve"> impuestas por una sentencia judicial. </w:t>
      </w:r>
    </w:p>
    <w:p w14:paraId="491D9305" w14:textId="77777777" w:rsidR="005371A9" w:rsidRDefault="008E4AA3" w:rsidP="006416CC">
      <w:pPr>
        <w:ind w:firstLine="708"/>
        <w:jc w:val="both"/>
        <w:rPr>
          <w:rFonts w:ascii="Garamond" w:hAnsi="Garamond"/>
          <w:sz w:val="28"/>
          <w:szCs w:val="28"/>
        </w:rPr>
      </w:pPr>
      <w:r>
        <w:rPr>
          <w:rFonts w:ascii="Garamond" w:hAnsi="Garamond"/>
          <w:sz w:val="28"/>
          <w:szCs w:val="28"/>
        </w:rPr>
        <w:t>N</w:t>
      </w:r>
      <w:r w:rsidR="00C66D3A" w:rsidRPr="00BC2647">
        <w:rPr>
          <w:rFonts w:ascii="Garamond" w:hAnsi="Garamond"/>
          <w:sz w:val="28"/>
          <w:szCs w:val="28"/>
        </w:rPr>
        <w:t>o se debe perder de vista que el actual art. 2 del proyecto reconoce que existe el Estado Social y Democrático de Derechos</w:t>
      </w:r>
      <w:r>
        <w:rPr>
          <w:rFonts w:ascii="Garamond" w:hAnsi="Garamond"/>
          <w:sz w:val="28"/>
          <w:szCs w:val="28"/>
        </w:rPr>
        <w:t>.</w:t>
      </w:r>
      <w:r w:rsidR="0034611E" w:rsidRPr="00BC2647">
        <w:rPr>
          <w:rFonts w:ascii="Garamond" w:hAnsi="Garamond"/>
          <w:sz w:val="28"/>
          <w:szCs w:val="28"/>
        </w:rPr>
        <w:t xml:space="preserve"> A</w:t>
      </w:r>
      <w:r w:rsidR="00C66D3A" w:rsidRPr="00BC2647">
        <w:rPr>
          <w:rFonts w:ascii="Garamond" w:hAnsi="Garamond"/>
          <w:sz w:val="28"/>
          <w:szCs w:val="28"/>
        </w:rPr>
        <w:t xml:space="preserve"> partir de esa norma</w:t>
      </w:r>
      <w:r w:rsidR="00167573" w:rsidRPr="00BC2647">
        <w:rPr>
          <w:rFonts w:ascii="Garamond" w:hAnsi="Garamond"/>
          <w:sz w:val="28"/>
          <w:szCs w:val="28"/>
        </w:rPr>
        <w:t xml:space="preserve"> se justificará </w:t>
      </w:r>
      <w:r w:rsidR="00C66D3A" w:rsidRPr="00BC2647">
        <w:rPr>
          <w:rFonts w:ascii="Garamond" w:hAnsi="Garamond"/>
          <w:sz w:val="28"/>
          <w:szCs w:val="28"/>
        </w:rPr>
        <w:t xml:space="preserve">que </w:t>
      </w:r>
      <w:r w:rsidR="0034611E" w:rsidRPr="00BC2647">
        <w:rPr>
          <w:rFonts w:ascii="Garamond" w:hAnsi="Garamond"/>
          <w:sz w:val="28"/>
          <w:szCs w:val="28"/>
        </w:rPr>
        <w:t xml:space="preserve">los jueces hagan cumplir los derechos sociales que ampara esta </w:t>
      </w:r>
      <w:r w:rsidR="00C66D3A" w:rsidRPr="00BC2647">
        <w:rPr>
          <w:rFonts w:ascii="Garamond" w:hAnsi="Garamond"/>
          <w:sz w:val="28"/>
          <w:szCs w:val="28"/>
        </w:rPr>
        <w:t>acción colectiva de derechos</w:t>
      </w:r>
      <w:r w:rsidR="005371A9">
        <w:rPr>
          <w:rFonts w:ascii="Garamond" w:hAnsi="Garamond"/>
          <w:sz w:val="28"/>
          <w:szCs w:val="28"/>
        </w:rPr>
        <w:t>, sea por prestadores públicos o privados.</w:t>
      </w:r>
    </w:p>
    <w:p w14:paraId="5F9488E1" w14:textId="1FAEA455" w:rsidR="007A6FEF" w:rsidRPr="00912F84" w:rsidRDefault="00097ABF" w:rsidP="00912F84">
      <w:pPr>
        <w:pStyle w:val="Prrafodelista"/>
        <w:numPr>
          <w:ilvl w:val="0"/>
          <w:numId w:val="6"/>
        </w:numPr>
        <w:jc w:val="both"/>
        <w:rPr>
          <w:rFonts w:ascii="Garamond" w:hAnsi="Garamond"/>
          <w:b/>
          <w:bCs/>
          <w:caps/>
          <w:sz w:val="28"/>
          <w:szCs w:val="28"/>
        </w:rPr>
      </w:pPr>
      <w:r w:rsidRPr="00912F84">
        <w:rPr>
          <w:rFonts w:ascii="Garamond" w:hAnsi="Garamond"/>
          <w:b/>
          <w:bCs/>
          <w:caps/>
          <w:sz w:val="28"/>
          <w:szCs w:val="28"/>
        </w:rPr>
        <w:t>P</w:t>
      </w:r>
      <w:r w:rsidR="007A6FEF" w:rsidRPr="00912F84">
        <w:rPr>
          <w:rFonts w:ascii="Garamond" w:hAnsi="Garamond"/>
          <w:b/>
          <w:bCs/>
          <w:caps/>
          <w:sz w:val="28"/>
          <w:szCs w:val="28"/>
        </w:rPr>
        <w:t>oder judicial</w:t>
      </w:r>
    </w:p>
    <w:p w14:paraId="387D1C83" w14:textId="77777777" w:rsidR="0034611E" w:rsidRDefault="00097ABF" w:rsidP="005E4942">
      <w:pPr>
        <w:suppressAutoHyphens/>
        <w:spacing w:before="120" w:after="120" w:line="240" w:lineRule="atLeast"/>
        <w:ind w:firstLine="708"/>
        <w:jc w:val="both"/>
        <w:rPr>
          <w:rFonts w:ascii="Garamond" w:hAnsi="Garamond"/>
          <w:sz w:val="28"/>
          <w:szCs w:val="28"/>
        </w:rPr>
      </w:pPr>
      <w:r w:rsidRPr="00BC2647">
        <w:rPr>
          <w:rFonts w:ascii="Garamond" w:hAnsi="Garamond"/>
          <w:sz w:val="28"/>
          <w:szCs w:val="28"/>
        </w:rPr>
        <w:t xml:space="preserve">Es poco comprensible la propuesta de fraccionamiento del gobierno del Poder Judicial. </w:t>
      </w:r>
    </w:p>
    <w:p w14:paraId="36A373F5" w14:textId="192150C9" w:rsidR="008578E5" w:rsidRDefault="008578E5" w:rsidP="005E4942">
      <w:pPr>
        <w:suppressAutoHyphens/>
        <w:spacing w:before="120" w:after="120" w:line="240" w:lineRule="atLeast"/>
        <w:ind w:firstLine="708"/>
        <w:jc w:val="both"/>
        <w:rPr>
          <w:rFonts w:ascii="Garamond" w:hAnsi="Garamond"/>
          <w:sz w:val="28"/>
          <w:szCs w:val="28"/>
        </w:rPr>
      </w:pPr>
      <w:r>
        <w:rPr>
          <w:rFonts w:ascii="Garamond" w:hAnsi="Garamond"/>
          <w:sz w:val="28"/>
          <w:szCs w:val="28"/>
        </w:rPr>
        <w:t xml:space="preserve">En el campo teórico existen tres modelos para regular el gobierno del </w:t>
      </w:r>
      <w:r w:rsidR="006D147F">
        <w:rPr>
          <w:rFonts w:ascii="Garamond" w:hAnsi="Garamond"/>
          <w:sz w:val="28"/>
          <w:szCs w:val="28"/>
        </w:rPr>
        <w:t>Poder</w:t>
      </w:r>
      <w:r>
        <w:rPr>
          <w:rFonts w:ascii="Garamond" w:hAnsi="Garamond"/>
          <w:sz w:val="28"/>
          <w:szCs w:val="28"/>
        </w:rPr>
        <w:t xml:space="preserve"> Judicial:</w:t>
      </w:r>
    </w:p>
    <w:p w14:paraId="2B7F476C" w14:textId="77777777" w:rsidR="0022209F" w:rsidRDefault="0022209F" w:rsidP="005E4942">
      <w:pPr>
        <w:suppressAutoHyphens/>
        <w:spacing w:before="120" w:after="120" w:line="240" w:lineRule="atLeast"/>
        <w:ind w:firstLine="708"/>
        <w:jc w:val="both"/>
        <w:rPr>
          <w:rFonts w:ascii="Garamond" w:hAnsi="Garamond"/>
          <w:sz w:val="28"/>
          <w:szCs w:val="28"/>
        </w:rPr>
      </w:pPr>
    </w:p>
    <w:p w14:paraId="68A2B547" w14:textId="584B2965" w:rsidR="008578E5" w:rsidRDefault="008578E5" w:rsidP="008578E5">
      <w:pPr>
        <w:pStyle w:val="Prrafodelista"/>
        <w:numPr>
          <w:ilvl w:val="0"/>
          <w:numId w:val="7"/>
        </w:numPr>
        <w:suppressAutoHyphens/>
        <w:spacing w:before="120" w:after="120" w:line="240" w:lineRule="atLeast"/>
        <w:jc w:val="both"/>
        <w:rPr>
          <w:rFonts w:ascii="Garamond" w:hAnsi="Garamond"/>
          <w:sz w:val="28"/>
          <w:szCs w:val="28"/>
        </w:rPr>
      </w:pPr>
      <w:r>
        <w:rPr>
          <w:rFonts w:ascii="Garamond" w:hAnsi="Garamond"/>
          <w:sz w:val="28"/>
          <w:szCs w:val="28"/>
        </w:rPr>
        <w:t>Modelo externo</w:t>
      </w:r>
      <w:r w:rsidR="0022209F">
        <w:rPr>
          <w:rFonts w:ascii="Garamond" w:hAnsi="Garamond"/>
          <w:sz w:val="28"/>
          <w:szCs w:val="28"/>
        </w:rPr>
        <w:t>, donde las decisiones se adoptan en sede no judicial.</w:t>
      </w:r>
    </w:p>
    <w:p w14:paraId="5729DE2A" w14:textId="77777777" w:rsidR="0022209F" w:rsidRDefault="0022209F" w:rsidP="0022209F">
      <w:pPr>
        <w:pStyle w:val="Prrafodelista"/>
        <w:suppressAutoHyphens/>
        <w:spacing w:before="120" w:after="120" w:line="240" w:lineRule="atLeast"/>
        <w:ind w:left="1428"/>
        <w:jc w:val="both"/>
        <w:rPr>
          <w:rFonts w:ascii="Garamond" w:hAnsi="Garamond"/>
          <w:sz w:val="28"/>
          <w:szCs w:val="28"/>
        </w:rPr>
      </w:pPr>
    </w:p>
    <w:p w14:paraId="06126C84" w14:textId="20B440B9" w:rsidR="0022209F" w:rsidRDefault="0022209F" w:rsidP="008578E5">
      <w:pPr>
        <w:pStyle w:val="Prrafodelista"/>
        <w:numPr>
          <w:ilvl w:val="0"/>
          <w:numId w:val="7"/>
        </w:numPr>
        <w:suppressAutoHyphens/>
        <w:spacing w:before="120" w:after="120" w:line="240" w:lineRule="atLeast"/>
        <w:jc w:val="both"/>
        <w:rPr>
          <w:rFonts w:ascii="Garamond" w:hAnsi="Garamond"/>
          <w:sz w:val="28"/>
          <w:szCs w:val="28"/>
        </w:rPr>
      </w:pPr>
      <w:r>
        <w:rPr>
          <w:rFonts w:ascii="Garamond" w:hAnsi="Garamond"/>
          <w:sz w:val="28"/>
          <w:szCs w:val="28"/>
        </w:rPr>
        <w:t xml:space="preserve">Modelo interno, donde los propios órganos jurisdiccionales asumen este rol. Claramente este es el sistema vigente en Chile, </w:t>
      </w:r>
      <w:r w:rsidR="00C86872">
        <w:rPr>
          <w:rFonts w:ascii="Garamond" w:hAnsi="Garamond"/>
          <w:sz w:val="28"/>
          <w:szCs w:val="28"/>
        </w:rPr>
        <w:t>sin perjuicio de la colaboración de los otros poderes del Estado</w:t>
      </w:r>
    </w:p>
    <w:p w14:paraId="260CA210" w14:textId="77777777" w:rsidR="00C86872" w:rsidRPr="00C86872" w:rsidRDefault="00C86872" w:rsidP="00C86872">
      <w:pPr>
        <w:pStyle w:val="Prrafodelista"/>
        <w:rPr>
          <w:rFonts w:ascii="Garamond" w:hAnsi="Garamond"/>
          <w:sz w:val="28"/>
          <w:szCs w:val="28"/>
        </w:rPr>
      </w:pPr>
    </w:p>
    <w:p w14:paraId="09FCE9C7" w14:textId="741E53B1" w:rsidR="00C86872" w:rsidRDefault="00C86872" w:rsidP="008578E5">
      <w:pPr>
        <w:pStyle w:val="Prrafodelista"/>
        <w:numPr>
          <w:ilvl w:val="0"/>
          <w:numId w:val="7"/>
        </w:numPr>
        <w:suppressAutoHyphens/>
        <w:spacing w:before="120" w:after="120" w:line="240" w:lineRule="atLeast"/>
        <w:jc w:val="both"/>
        <w:rPr>
          <w:rFonts w:ascii="Garamond" w:hAnsi="Garamond"/>
          <w:sz w:val="28"/>
          <w:szCs w:val="28"/>
        </w:rPr>
      </w:pPr>
      <w:r>
        <w:rPr>
          <w:rFonts w:ascii="Garamond" w:hAnsi="Garamond"/>
          <w:sz w:val="28"/>
          <w:szCs w:val="28"/>
        </w:rPr>
        <w:lastRenderedPageBreak/>
        <w:t xml:space="preserve">Modelo institucional, a través de órganos creados </w:t>
      </w:r>
      <w:r w:rsidRPr="00C86872">
        <w:rPr>
          <w:rFonts w:ascii="Garamond" w:hAnsi="Garamond"/>
          <w:i/>
          <w:iCs/>
          <w:sz w:val="28"/>
          <w:szCs w:val="28"/>
        </w:rPr>
        <w:t>ex profeso</w:t>
      </w:r>
      <w:r>
        <w:rPr>
          <w:rFonts w:ascii="Garamond" w:hAnsi="Garamond"/>
          <w:sz w:val="28"/>
          <w:szCs w:val="28"/>
        </w:rPr>
        <w:t xml:space="preserve"> para gobernar el Poder Judicial.</w:t>
      </w:r>
    </w:p>
    <w:p w14:paraId="0669AA9C" w14:textId="77777777" w:rsidR="00C86872" w:rsidRPr="00C86872" w:rsidRDefault="00C86872" w:rsidP="00C86872">
      <w:pPr>
        <w:pStyle w:val="Prrafodelista"/>
        <w:rPr>
          <w:rFonts w:ascii="Garamond" w:hAnsi="Garamond"/>
          <w:sz w:val="28"/>
          <w:szCs w:val="28"/>
        </w:rPr>
      </w:pPr>
    </w:p>
    <w:p w14:paraId="7EB04CF3" w14:textId="77777777" w:rsidR="0025774E" w:rsidRDefault="00C86872" w:rsidP="005E4942">
      <w:pPr>
        <w:suppressAutoHyphens/>
        <w:spacing w:before="120" w:after="120" w:line="240" w:lineRule="atLeast"/>
        <w:ind w:firstLine="708"/>
        <w:jc w:val="both"/>
        <w:rPr>
          <w:rFonts w:ascii="Garamond" w:hAnsi="Garamond"/>
          <w:sz w:val="28"/>
          <w:szCs w:val="28"/>
        </w:rPr>
      </w:pPr>
      <w:r w:rsidRPr="0025774E">
        <w:rPr>
          <w:rFonts w:ascii="Garamond" w:hAnsi="Garamond"/>
          <w:sz w:val="28"/>
          <w:szCs w:val="28"/>
        </w:rPr>
        <w:t xml:space="preserve">Con toda franqueza, después de leer las reglas propuestas me declaro incapaz de poder determinar </w:t>
      </w:r>
      <w:r w:rsidR="0025774E" w:rsidRPr="0025774E">
        <w:rPr>
          <w:rFonts w:ascii="Garamond" w:hAnsi="Garamond"/>
          <w:sz w:val="28"/>
          <w:szCs w:val="28"/>
        </w:rPr>
        <w:t>cuál es el modelo que se quiere caminar con esta Reforma.</w:t>
      </w:r>
    </w:p>
    <w:p w14:paraId="614FD872" w14:textId="25210457" w:rsidR="0034611E" w:rsidRPr="00BC2647" w:rsidRDefault="00097ABF" w:rsidP="005E4942">
      <w:pPr>
        <w:suppressAutoHyphens/>
        <w:spacing w:before="120" w:after="120" w:line="240" w:lineRule="atLeast"/>
        <w:ind w:firstLine="708"/>
        <w:jc w:val="both"/>
        <w:rPr>
          <w:rFonts w:ascii="Garamond" w:hAnsi="Garamond"/>
          <w:sz w:val="28"/>
          <w:szCs w:val="28"/>
        </w:rPr>
      </w:pPr>
      <w:r w:rsidRPr="00BC2647">
        <w:rPr>
          <w:rFonts w:ascii="Garamond" w:hAnsi="Garamond"/>
          <w:sz w:val="28"/>
          <w:szCs w:val="28"/>
        </w:rPr>
        <w:t xml:space="preserve">La regulación en varios órganos dispersos no se entiende y puede provocar problemas políticos serios. </w:t>
      </w:r>
    </w:p>
    <w:p w14:paraId="29B3560D" w14:textId="661C3F36" w:rsidR="00BC2647" w:rsidRDefault="00097ABF">
      <w:pPr>
        <w:suppressAutoHyphens/>
        <w:spacing w:before="120" w:after="120" w:line="240" w:lineRule="atLeast"/>
        <w:ind w:firstLine="708"/>
        <w:jc w:val="both"/>
        <w:rPr>
          <w:rFonts w:ascii="Garamond" w:hAnsi="Garamond"/>
          <w:sz w:val="28"/>
          <w:szCs w:val="28"/>
        </w:rPr>
      </w:pPr>
      <w:r w:rsidRPr="00BC2647">
        <w:rPr>
          <w:rFonts w:ascii="Garamond" w:hAnsi="Garamond"/>
          <w:sz w:val="28"/>
          <w:szCs w:val="28"/>
        </w:rPr>
        <w:t>No se entiende las razones técnicas que pueden llevar a esta atomización que contiene los art. 157 y siguientes.</w:t>
      </w:r>
    </w:p>
    <w:p w14:paraId="67614886" w14:textId="77777777" w:rsidR="003B7B39" w:rsidRDefault="003B7B39">
      <w:pPr>
        <w:suppressAutoHyphens/>
        <w:spacing w:before="120" w:after="120" w:line="240" w:lineRule="atLeast"/>
        <w:ind w:firstLine="708"/>
        <w:jc w:val="both"/>
        <w:rPr>
          <w:rFonts w:ascii="Garamond" w:hAnsi="Garamond"/>
          <w:sz w:val="28"/>
          <w:szCs w:val="28"/>
        </w:rPr>
      </w:pPr>
    </w:p>
    <w:p w14:paraId="1286D4DE" w14:textId="4CA07C4B" w:rsidR="003B7B39" w:rsidRPr="00BC2647" w:rsidRDefault="003B7B39">
      <w:pPr>
        <w:suppressAutoHyphens/>
        <w:spacing w:before="120" w:after="120" w:line="240" w:lineRule="atLeast"/>
        <w:ind w:firstLine="708"/>
        <w:jc w:val="both"/>
        <w:rPr>
          <w:rFonts w:ascii="Garamond" w:hAnsi="Garamond"/>
          <w:sz w:val="28"/>
          <w:szCs w:val="28"/>
        </w:rPr>
      </w:pPr>
      <w:r>
        <w:rPr>
          <w:rFonts w:ascii="Garamond" w:hAnsi="Garamond"/>
          <w:sz w:val="28"/>
          <w:szCs w:val="28"/>
        </w:rPr>
        <w:t>Alejandro Romero Seguel</w:t>
      </w:r>
    </w:p>
    <w:sectPr w:rsidR="003B7B39" w:rsidRPr="00BC2647" w:rsidSect="002746EB">
      <w:headerReference w:type="default" r:id="rId7"/>
      <w:pgSz w:w="12240" w:h="15840" w:code="1"/>
      <w:pgMar w:top="1417" w:right="1701" w:bottom="1417" w:left="170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64E9" w14:textId="77777777" w:rsidR="0094502C" w:rsidRDefault="0094502C" w:rsidP="001E45CD">
      <w:pPr>
        <w:spacing w:after="0" w:line="240" w:lineRule="auto"/>
      </w:pPr>
      <w:r>
        <w:separator/>
      </w:r>
    </w:p>
  </w:endnote>
  <w:endnote w:type="continuationSeparator" w:id="0">
    <w:p w14:paraId="4F3D3EBC" w14:textId="77777777" w:rsidR="0094502C" w:rsidRDefault="0094502C" w:rsidP="001E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724E" w14:textId="77777777" w:rsidR="0094502C" w:rsidRDefault="0094502C" w:rsidP="001E45CD">
      <w:pPr>
        <w:spacing w:after="0" w:line="240" w:lineRule="auto"/>
      </w:pPr>
      <w:r>
        <w:separator/>
      </w:r>
    </w:p>
  </w:footnote>
  <w:footnote w:type="continuationSeparator" w:id="0">
    <w:p w14:paraId="1E2B8739" w14:textId="77777777" w:rsidR="0094502C" w:rsidRDefault="0094502C" w:rsidP="001E4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533340"/>
      <w:docPartObj>
        <w:docPartGallery w:val="Page Numbers (Top of Page)"/>
        <w:docPartUnique/>
      </w:docPartObj>
    </w:sdtPr>
    <w:sdtContent>
      <w:p w14:paraId="384C85AF" w14:textId="789F0646" w:rsidR="002746EB" w:rsidRDefault="002746EB">
        <w:pPr>
          <w:pStyle w:val="Encabezado"/>
          <w:jc w:val="right"/>
        </w:pPr>
        <w:r>
          <w:fldChar w:fldCharType="begin"/>
        </w:r>
        <w:r>
          <w:instrText>PAGE   \* MERGEFORMAT</w:instrText>
        </w:r>
        <w:r>
          <w:fldChar w:fldCharType="separate"/>
        </w:r>
        <w:r>
          <w:rPr>
            <w:lang w:val="es-ES"/>
          </w:rPr>
          <w:t>2</w:t>
        </w:r>
        <w:r>
          <w:fldChar w:fldCharType="end"/>
        </w:r>
      </w:p>
    </w:sdtContent>
  </w:sdt>
  <w:p w14:paraId="5EB8FCB4" w14:textId="77777777" w:rsidR="002746EB" w:rsidRDefault="002746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F8C"/>
    <w:multiLevelType w:val="hybridMultilevel"/>
    <w:tmpl w:val="6792DB68"/>
    <w:lvl w:ilvl="0" w:tplc="93F818B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8674D61"/>
    <w:multiLevelType w:val="hybridMultilevel"/>
    <w:tmpl w:val="2F0090F2"/>
    <w:lvl w:ilvl="0" w:tplc="17A09930">
      <w:start w:val="1"/>
      <w:numFmt w:val="upperRoman"/>
      <w:lvlText w:val="%1."/>
      <w:lvlJc w:val="left"/>
      <w:pPr>
        <w:ind w:left="1080" w:hanging="72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08A05CB"/>
    <w:multiLevelType w:val="hybridMultilevel"/>
    <w:tmpl w:val="7B284C0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6BD538E"/>
    <w:multiLevelType w:val="hybridMultilevel"/>
    <w:tmpl w:val="83CC957E"/>
    <w:lvl w:ilvl="0" w:tplc="808E4AFE">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9C33A54"/>
    <w:multiLevelType w:val="hybridMultilevel"/>
    <w:tmpl w:val="ACDAC97C"/>
    <w:lvl w:ilvl="0" w:tplc="72325D88">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62246A9"/>
    <w:multiLevelType w:val="hybridMultilevel"/>
    <w:tmpl w:val="C1740DAE"/>
    <w:lvl w:ilvl="0" w:tplc="AD96E39E">
      <w:start w:val="1"/>
      <w:numFmt w:val="upp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 w15:restartNumberingAfterBreak="0">
    <w:nsid w:val="7D5C150E"/>
    <w:multiLevelType w:val="hybridMultilevel"/>
    <w:tmpl w:val="27E27E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780684161">
    <w:abstractNumId w:val="0"/>
  </w:num>
  <w:num w:numId="2" w16cid:durableId="817651309">
    <w:abstractNumId w:val="3"/>
  </w:num>
  <w:num w:numId="3" w16cid:durableId="6953288">
    <w:abstractNumId w:val="1"/>
  </w:num>
  <w:num w:numId="4" w16cid:durableId="444276651">
    <w:abstractNumId w:val="6"/>
  </w:num>
  <w:num w:numId="5" w16cid:durableId="1686594491">
    <w:abstractNumId w:val="2"/>
  </w:num>
  <w:num w:numId="6" w16cid:durableId="604193213">
    <w:abstractNumId w:val="4"/>
  </w:num>
  <w:num w:numId="7" w16cid:durableId="12681509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C5"/>
    <w:rsid w:val="00035EB1"/>
    <w:rsid w:val="000739D4"/>
    <w:rsid w:val="00097ABF"/>
    <w:rsid w:val="000A4DD4"/>
    <w:rsid w:val="000B71C1"/>
    <w:rsid w:val="000F7D83"/>
    <w:rsid w:val="00105D43"/>
    <w:rsid w:val="00164B15"/>
    <w:rsid w:val="00167573"/>
    <w:rsid w:val="00181943"/>
    <w:rsid w:val="00182710"/>
    <w:rsid w:val="001B1BC5"/>
    <w:rsid w:val="001E45CD"/>
    <w:rsid w:val="00220CBB"/>
    <w:rsid w:val="0022209F"/>
    <w:rsid w:val="0025774E"/>
    <w:rsid w:val="002701A7"/>
    <w:rsid w:val="00270897"/>
    <w:rsid w:val="002746EB"/>
    <w:rsid w:val="00293713"/>
    <w:rsid w:val="002B3DE5"/>
    <w:rsid w:val="002D7445"/>
    <w:rsid w:val="002E13ED"/>
    <w:rsid w:val="002E1CB1"/>
    <w:rsid w:val="002F6473"/>
    <w:rsid w:val="00310A74"/>
    <w:rsid w:val="00337C39"/>
    <w:rsid w:val="0034611E"/>
    <w:rsid w:val="00373ED9"/>
    <w:rsid w:val="003A4A39"/>
    <w:rsid w:val="003B16DC"/>
    <w:rsid w:val="003B7551"/>
    <w:rsid w:val="003B7B39"/>
    <w:rsid w:val="003D0643"/>
    <w:rsid w:val="003F2B41"/>
    <w:rsid w:val="004124F5"/>
    <w:rsid w:val="00413129"/>
    <w:rsid w:val="00431EAE"/>
    <w:rsid w:val="00434042"/>
    <w:rsid w:val="00451EE2"/>
    <w:rsid w:val="004A6BEA"/>
    <w:rsid w:val="004C15E4"/>
    <w:rsid w:val="004C5E67"/>
    <w:rsid w:val="004E03D9"/>
    <w:rsid w:val="00510E07"/>
    <w:rsid w:val="005371A9"/>
    <w:rsid w:val="00537E3E"/>
    <w:rsid w:val="005524C7"/>
    <w:rsid w:val="00560924"/>
    <w:rsid w:val="0057407B"/>
    <w:rsid w:val="00583CA9"/>
    <w:rsid w:val="005D7F76"/>
    <w:rsid w:val="005E4942"/>
    <w:rsid w:val="006416CC"/>
    <w:rsid w:val="0064685F"/>
    <w:rsid w:val="006B5B6D"/>
    <w:rsid w:val="006D0DEC"/>
    <w:rsid w:val="006D147F"/>
    <w:rsid w:val="006D6788"/>
    <w:rsid w:val="006E4E93"/>
    <w:rsid w:val="007131F3"/>
    <w:rsid w:val="0073473D"/>
    <w:rsid w:val="0074759F"/>
    <w:rsid w:val="00755BB4"/>
    <w:rsid w:val="00756CF1"/>
    <w:rsid w:val="00761F7F"/>
    <w:rsid w:val="00786268"/>
    <w:rsid w:val="00793F95"/>
    <w:rsid w:val="007A6FEF"/>
    <w:rsid w:val="00821110"/>
    <w:rsid w:val="008578E5"/>
    <w:rsid w:val="00870E43"/>
    <w:rsid w:val="00870F86"/>
    <w:rsid w:val="00883BB4"/>
    <w:rsid w:val="00893256"/>
    <w:rsid w:val="008C2D8A"/>
    <w:rsid w:val="008E4AA3"/>
    <w:rsid w:val="008E57EF"/>
    <w:rsid w:val="008E5DFC"/>
    <w:rsid w:val="00912F84"/>
    <w:rsid w:val="009137A7"/>
    <w:rsid w:val="0094502C"/>
    <w:rsid w:val="00947A63"/>
    <w:rsid w:val="009A14B8"/>
    <w:rsid w:val="009D2898"/>
    <w:rsid w:val="00A10D77"/>
    <w:rsid w:val="00A35C4B"/>
    <w:rsid w:val="00A848D2"/>
    <w:rsid w:val="00AB2516"/>
    <w:rsid w:val="00AC26F5"/>
    <w:rsid w:val="00AC319D"/>
    <w:rsid w:val="00AC372C"/>
    <w:rsid w:val="00AC5984"/>
    <w:rsid w:val="00AD25C2"/>
    <w:rsid w:val="00B0460A"/>
    <w:rsid w:val="00B11F95"/>
    <w:rsid w:val="00B51C5D"/>
    <w:rsid w:val="00B8742C"/>
    <w:rsid w:val="00B87F4D"/>
    <w:rsid w:val="00BC2647"/>
    <w:rsid w:val="00BC71AF"/>
    <w:rsid w:val="00BF1999"/>
    <w:rsid w:val="00C66D3A"/>
    <w:rsid w:val="00C86872"/>
    <w:rsid w:val="00C97DB8"/>
    <w:rsid w:val="00CE492C"/>
    <w:rsid w:val="00D1317D"/>
    <w:rsid w:val="00D31AC8"/>
    <w:rsid w:val="00D344F9"/>
    <w:rsid w:val="00D44489"/>
    <w:rsid w:val="00D9624E"/>
    <w:rsid w:val="00DA38CF"/>
    <w:rsid w:val="00DB5A2B"/>
    <w:rsid w:val="00DD5819"/>
    <w:rsid w:val="00DF5E44"/>
    <w:rsid w:val="00E77CDD"/>
    <w:rsid w:val="00E966F4"/>
    <w:rsid w:val="00EA048C"/>
    <w:rsid w:val="00EB60CF"/>
    <w:rsid w:val="00EB6E1D"/>
    <w:rsid w:val="00F100CD"/>
    <w:rsid w:val="00F31BAC"/>
    <w:rsid w:val="00F335C0"/>
    <w:rsid w:val="00F50ED8"/>
    <w:rsid w:val="00F80E4A"/>
    <w:rsid w:val="00F9114F"/>
    <w:rsid w:val="00F94360"/>
    <w:rsid w:val="00FD5911"/>
    <w:rsid w:val="00FF5C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A6AE"/>
  <w15:chartTrackingRefBased/>
  <w15:docId w15:val="{39090361-9185-49EC-9AE0-B400ABA2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C5"/>
  </w:style>
  <w:style w:type="paragraph" w:styleId="Ttulo1">
    <w:name w:val="heading 1"/>
    <w:basedOn w:val="Normal"/>
    <w:next w:val="Normal"/>
    <w:link w:val="Ttulo1Car"/>
    <w:uiPriority w:val="9"/>
    <w:qFormat/>
    <w:rsid w:val="008E57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Ttulo1"/>
    <w:next w:val="Normal"/>
    <w:link w:val="Ttulo2Car"/>
    <w:uiPriority w:val="1"/>
    <w:qFormat/>
    <w:rsid w:val="008E57EF"/>
    <w:pPr>
      <w:keepNext w:val="0"/>
      <w:keepLines w:val="0"/>
      <w:spacing w:before="0" w:line="240" w:lineRule="auto"/>
      <w:jc w:val="both"/>
      <w:outlineLvl w:val="1"/>
    </w:pPr>
    <w:rPr>
      <w:rFonts w:ascii="Arial Narrow" w:eastAsia="Times New Roman" w:hAnsi="Arial Narrow" w:cs="Times New Roman"/>
      <w:color w:val="auto"/>
      <w:kern w:val="0"/>
      <w:sz w:val="24"/>
      <w:szCs w:val="20"/>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8E57EF"/>
    <w:rPr>
      <w:rFonts w:ascii="Arial Narrow" w:eastAsia="Times New Roman" w:hAnsi="Arial Narrow" w:cs="Times New Roman"/>
      <w:kern w:val="0"/>
      <w:sz w:val="24"/>
      <w:szCs w:val="20"/>
      <w:lang w:val="es-ES_tradnl" w:eastAsia="es-CL"/>
    </w:rPr>
  </w:style>
  <w:style w:type="character" w:customStyle="1" w:styleId="Notaapie">
    <w:name w:val="Nota a pie"/>
    <w:qFormat/>
    <w:rsid w:val="008E57EF"/>
    <w:rPr>
      <w:lang w:val="en-GB"/>
    </w:rPr>
  </w:style>
  <w:style w:type="paragraph" w:customStyle="1" w:styleId="a">
    <w:basedOn w:val="Normal"/>
    <w:next w:val="Ttulo"/>
    <w:link w:val="PuestoCar"/>
    <w:uiPriority w:val="99"/>
    <w:qFormat/>
    <w:rsid w:val="008E57EF"/>
    <w:pPr>
      <w:tabs>
        <w:tab w:val="left" w:pos="-1440"/>
        <w:tab w:val="left" w:pos="-720"/>
        <w:tab w:val="left" w:pos="-270"/>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88" w:lineRule="auto"/>
      <w:jc w:val="center"/>
    </w:pPr>
    <w:rPr>
      <w:rFonts w:ascii="Times New Roman" w:eastAsia="Times New Roman" w:hAnsi="Times New Roman" w:cs="Times New Roman"/>
      <w:b/>
      <w:smallCaps/>
      <w:kern w:val="0"/>
      <w:sz w:val="28"/>
      <w:szCs w:val="20"/>
      <w:lang w:val="es-ES_tradnl" w:eastAsia="es-ES"/>
    </w:rPr>
  </w:style>
  <w:style w:type="character" w:customStyle="1" w:styleId="PuestoCar">
    <w:name w:val="Puesto Car"/>
    <w:link w:val="a"/>
    <w:uiPriority w:val="99"/>
    <w:rsid w:val="008E57EF"/>
    <w:rPr>
      <w:rFonts w:ascii="Times New Roman" w:eastAsia="Times New Roman" w:hAnsi="Times New Roman" w:cs="Times New Roman"/>
      <w:b/>
      <w:smallCaps/>
      <w:kern w:val="0"/>
      <w:sz w:val="28"/>
      <w:szCs w:val="20"/>
      <w:lang w:val="es-ES_tradnl" w:eastAsia="es-ES"/>
    </w:rPr>
  </w:style>
  <w:style w:type="paragraph" w:customStyle="1" w:styleId="00-Textogeneralc12">
    <w:name w:val="00-Texto general c/12"/>
    <w:basedOn w:val="Normal"/>
    <w:uiPriority w:val="99"/>
    <w:rsid w:val="008E57EF"/>
    <w:pPr>
      <w:widowControl w:val="0"/>
      <w:autoSpaceDE w:val="0"/>
      <w:autoSpaceDN w:val="0"/>
      <w:adjustRightInd w:val="0"/>
      <w:spacing w:after="283" w:line="288" w:lineRule="auto"/>
      <w:ind w:firstLine="283"/>
      <w:jc w:val="both"/>
      <w:textAlignment w:val="center"/>
    </w:pPr>
    <w:rPr>
      <w:rFonts w:ascii="Times New Roman" w:eastAsia="Yu Mincho" w:hAnsi="Times New Roman" w:cs="Times New Roman"/>
      <w:color w:val="000000"/>
      <w:kern w:val="0"/>
      <w:sz w:val="24"/>
      <w:szCs w:val="24"/>
      <w:lang w:val="es-ES_tradnl" w:eastAsia="es-CL"/>
    </w:rPr>
  </w:style>
  <w:style w:type="character" w:customStyle="1" w:styleId="normaltextrun">
    <w:name w:val="normaltextrun"/>
    <w:basedOn w:val="Fuentedeprrafopredeter"/>
    <w:rsid w:val="008E57EF"/>
  </w:style>
  <w:style w:type="paragraph" w:styleId="Sinespaciado">
    <w:name w:val="No Spacing"/>
    <w:uiPriority w:val="1"/>
    <w:qFormat/>
    <w:rsid w:val="008E57EF"/>
    <w:pPr>
      <w:spacing w:after="0" w:line="240" w:lineRule="auto"/>
    </w:pPr>
    <w:rPr>
      <w:rFonts w:ascii="Times New Roman" w:eastAsia="Times New Roman" w:hAnsi="Times New Roman" w:cs="Times New Roman"/>
      <w:kern w:val="0"/>
      <w:sz w:val="20"/>
      <w:szCs w:val="20"/>
      <w:lang w:val="es-ES" w:eastAsia="es-CL"/>
    </w:rPr>
  </w:style>
  <w:style w:type="character" w:customStyle="1" w:styleId="Ttulo1Car">
    <w:name w:val="Título 1 Car"/>
    <w:basedOn w:val="Fuentedeprrafopredeter"/>
    <w:link w:val="Ttulo1"/>
    <w:uiPriority w:val="9"/>
    <w:rsid w:val="008E57EF"/>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ar"/>
    <w:uiPriority w:val="10"/>
    <w:qFormat/>
    <w:rsid w:val="008E5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E57EF"/>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8E57EF"/>
    <w:pPr>
      <w:ind w:left="720"/>
      <w:contextualSpacing/>
    </w:pPr>
  </w:style>
  <w:style w:type="paragraph" w:customStyle="1" w:styleId="8B-Notasinlinea">
    <w:name w:val="8B-Nota sin linea"/>
    <w:basedOn w:val="Normal"/>
    <w:uiPriority w:val="99"/>
    <w:rsid w:val="001E45CD"/>
    <w:pPr>
      <w:widowControl w:val="0"/>
      <w:tabs>
        <w:tab w:val="left" w:pos="283"/>
      </w:tabs>
      <w:autoSpaceDE w:val="0"/>
      <w:autoSpaceDN w:val="0"/>
      <w:adjustRightInd w:val="0"/>
      <w:spacing w:after="0" w:line="230" w:lineRule="atLeast"/>
      <w:ind w:firstLine="283"/>
      <w:jc w:val="both"/>
      <w:textAlignment w:val="center"/>
    </w:pPr>
    <w:rPr>
      <w:rFonts w:ascii="Times New Roman" w:eastAsia="Yu Mincho" w:hAnsi="Times New Roman" w:cs="Times New Roman"/>
      <w:color w:val="000000"/>
      <w:kern w:val="0"/>
      <w:sz w:val="19"/>
      <w:szCs w:val="19"/>
      <w:lang w:val="es-ES_tradnl" w:eastAsia="es-CL"/>
      <w14:ligatures w14:val="none"/>
    </w:rPr>
  </w:style>
  <w:style w:type="character" w:customStyle="1" w:styleId="SUPERINDICE">
    <w:name w:val="SUPERINDICE"/>
    <w:uiPriority w:val="99"/>
    <w:rsid w:val="001E45CD"/>
    <w:rPr>
      <w:vertAlign w:val="superscript"/>
    </w:rPr>
  </w:style>
  <w:style w:type="character" w:styleId="Refdenotaalpie">
    <w:name w:val="footnote reference"/>
    <w:aliases w:val="Footnotes refss,Appel note de bas de page,Footnote number,referencia nota al pie,BVI fnr,f,4_G,16 Point,Superscript 6 Point,Footnote Reference Char3,Footnote Reference Char1 Char,Footnote Reference Char Char Char,Texto de nota al pie"/>
    <w:basedOn w:val="Fuentedeprrafopredeter"/>
    <w:qFormat/>
    <w:rsid w:val="0057407B"/>
    <w:rPr>
      <w:w w:val="100"/>
      <w:vertAlign w:val="superscript"/>
    </w:rPr>
  </w:style>
  <w:style w:type="paragraph" w:styleId="Encabezado">
    <w:name w:val="header"/>
    <w:basedOn w:val="Normal"/>
    <w:link w:val="EncabezadoCar"/>
    <w:uiPriority w:val="99"/>
    <w:unhideWhenUsed/>
    <w:rsid w:val="002746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46EB"/>
  </w:style>
  <w:style w:type="paragraph" w:styleId="Piedepgina">
    <w:name w:val="footer"/>
    <w:basedOn w:val="Normal"/>
    <w:link w:val="PiedepginaCar"/>
    <w:uiPriority w:val="99"/>
    <w:unhideWhenUsed/>
    <w:rsid w:val="002746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46EB"/>
  </w:style>
  <w:style w:type="paragraph" w:customStyle="1" w:styleId="04-SUBTITULOCURSIVA">
    <w:name w:val="04-SUBTITULO CURSIVA"/>
    <w:basedOn w:val="Normal"/>
    <w:uiPriority w:val="99"/>
    <w:rsid w:val="00431EAE"/>
    <w:pPr>
      <w:widowControl w:val="0"/>
      <w:suppressAutoHyphens/>
      <w:autoSpaceDE w:val="0"/>
      <w:autoSpaceDN w:val="0"/>
      <w:adjustRightInd w:val="0"/>
      <w:spacing w:before="113" w:after="283" w:line="288" w:lineRule="auto"/>
      <w:jc w:val="center"/>
      <w:textAlignment w:val="center"/>
    </w:pPr>
    <w:rPr>
      <w:rFonts w:ascii="Times New Roman" w:eastAsiaTheme="minorEastAsia" w:hAnsi="Times New Roman" w:cs="Times New Roman"/>
      <w:i/>
      <w:iCs/>
      <w:color w:val="000000"/>
      <w:kern w:val="0"/>
      <w:sz w:val="24"/>
      <w:szCs w:val="24"/>
      <w:lang w:val="es-ES_tradnl" w:eastAsia="es-CL"/>
      <w14:ligatures w14:val="none"/>
    </w:rPr>
  </w:style>
  <w:style w:type="paragraph" w:customStyle="1" w:styleId="04A-SUBTITULOCURSIVASIN">
    <w:name w:val="04A-SUBTITULO CURSIVA SIN"/>
    <w:basedOn w:val="04-SUBTITULOCURSIVA"/>
    <w:uiPriority w:val="99"/>
    <w:rsid w:val="00431EAE"/>
    <w:pPr>
      <w:spacing w:before="0"/>
    </w:pPr>
  </w:style>
  <w:style w:type="paragraph" w:styleId="Textonotapie">
    <w:name w:val="footnote text"/>
    <w:basedOn w:val="Normal"/>
    <w:link w:val="TextonotapieCar"/>
    <w:semiHidden/>
    <w:rsid w:val="002E13ED"/>
    <w:pPr>
      <w:widowControl w:val="0"/>
      <w:spacing w:after="0" w:line="240" w:lineRule="auto"/>
    </w:pPr>
    <w:rPr>
      <w:rFonts w:ascii="Times New Roman" w:eastAsia="Times New Roman" w:hAnsi="Times New Roman" w:cs="Times New Roman"/>
      <w:kern w:val="0"/>
      <w:sz w:val="20"/>
      <w:szCs w:val="20"/>
      <w:lang w:val="x-none" w:eastAsia="es-ES"/>
      <w14:ligatures w14:val="none"/>
    </w:rPr>
  </w:style>
  <w:style w:type="character" w:customStyle="1" w:styleId="TextonotapieCar">
    <w:name w:val="Texto nota pie Car"/>
    <w:basedOn w:val="Fuentedeprrafopredeter"/>
    <w:link w:val="Textonotapie"/>
    <w:semiHidden/>
    <w:rsid w:val="002E13ED"/>
    <w:rPr>
      <w:rFonts w:ascii="Times New Roman" w:eastAsia="Times New Roman" w:hAnsi="Times New Roman" w:cs="Times New Roman"/>
      <w:kern w:val="0"/>
      <w:sz w:val="20"/>
      <w:szCs w:val="20"/>
      <w:lang w:val="x-none" w:eastAsia="es-ES"/>
      <w14:ligatures w14:val="none"/>
    </w:rPr>
  </w:style>
  <w:style w:type="paragraph" w:styleId="Textoindependiente">
    <w:name w:val="Body Text"/>
    <w:basedOn w:val="Normal"/>
    <w:link w:val="TextoindependienteCar"/>
    <w:rsid w:val="002E13ED"/>
    <w:pPr>
      <w:widowControl w:val="0"/>
      <w:spacing w:after="0" w:line="360" w:lineRule="atLeast"/>
      <w:jc w:val="both"/>
    </w:pPr>
    <w:rPr>
      <w:rFonts w:ascii="Times New Roman" w:eastAsia="Times New Roman" w:hAnsi="Times New Roman" w:cs="Times New Roman"/>
      <w:kern w:val="0"/>
      <w:sz w:val="24"/>
      <w:szCs w:val="20"/>
      <w:lang w:val="es-ES" w:eastAsia="es-ES"/>
      <w14:ligatures w14:val="none"/>
    </w:rPr>
  </w:style>
  <w:style w:type="character" w:customStyle="1" w:styleId="TextoindependienteCar">
    <w:name w:val="Texto independiente Car"/>
    <w:basedOn w:val="Fuentedeprrafopredeter"/>
    <w:link w:val="Textoindependiente"/>
    <w:rsid w:val="002E13ED"/>
    <w:rPr>
      <w:rFonts w:ascii="Times New Roman" w:eastAsia="Times New Roman" w:hAnsi="Times New Roman" w:cs="Times New Roman"/>
      <w:kern w:val="0"/>
      <w:sz w:val="24"/>
      <w:szCs w:val="20"/>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0631">
      <w:bodyDiv w:val="1"/>
      <w:marLeft w:val="0"/>
      <w:marRight w:val="0"/>
      <w:marTop w:val="0"/>
      <w:marBottom w:val="0"/>
      <w:divBdr>
        <w:top w:val="none" w:sz="0" w:space="0" w:color="auto"/>
        <w:left w:val="none" w:sz="0" w:space="0" w:color="auto"/>
        <w:bottom w:val="none" w:sz="0" w:space="0" w:color="auto"/>
        <w:right w:val="none" w:sz="0" w:space="0" w:color="auto"/>
      </w:divBdr>
      <w:divsChild>
        <w:div w:id="369649454">
          <w:marLeft w:val="0"/>
          <w:marRight w:val="0"/>
          <w:marTop w:val="0"/>
          <w:marBottom w:val="300"/>
          <w:divBdr>
            <w:top w:val="none" w:sz="0" w:space="0" w:color="auto"/>
            <w:left w:val="none" w:sz="0" w:space="0" w:color="auto"/>
            <w:bottom w:val="none" w:sz="0" w:space="0" w:color="auto"/>
            <w:right w:val="none" w:sz="0" w:space="0" w:color="auto"/>
          </w:divBdr>
        </w:div>
        <w:div w:id="71435873">
          <w:marLeft w:val="0"/>
          <w:marRight w:val="0"/>
          <w:marTop w:val="0"/>
          <w:marBottom w:val="300"/>
          <w:divBdr>
            <w:top w:val="none" w:sz="0" w:space="0" w:color="auto"/>
            <w:left w:val="none" w:sz="0" w:space="0" w:color="auto"/>
            <w:bottom w:val="none" w:sz="0" w:space="0" w:color="auto"/>
            <w:right w:val="none" w:sz="0" w:space="0" w:color="auto"/>
          </w:divBdr>
        </w:div>
        <w:div w:id="927419628">
          <w:marLeft w:val="0"/>
          <w:marRight w:val="0"/>
          <w:marTop w:val="0"/>
          <w:marBottom w:val="300"/>
          <w:divBdr>
            <w:top w:val="none" w:sz="0" w:space="0" w:color="auto"/>
            <w:left w:val="none" w:sz="0" w:space="0" w:color="auto"/>
            <w:bottom w:val="none" w:sz="0" w:space="0" w:color="auto"/>
            <w:right w:val="none" w:sz="0" w:space="0" w:color="auto"/>
          </w:divBdr>
        </w:div>
        <w:div w:id="27606767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2504</Words>
  <Characters>13777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César Romero Seguel</dc:creator>
  <cp:keywords/>
  <dc:description/>
  <cp:lastModifiedBy>Comision Funcion Jurisdiccional</cp:lastModifiedBy>
  <cp:revision>2</cp:revision>
  <cp:lastPrinted>2023-07-27T15:37:00Z</cp:lastPrinted>
  <dcterms:created xsi:type="dcterms:W3CDTF">2023-07-27T19:53:00Z</dcterms:created>
  <dcterms:modified xsi:type="dcterms:W3CDTF">2023-07-27T19:53:00Z</dcterms:modified>
</cp:coreProperties>
</file>